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4A40D" w14:textId="7A313740" w:rsidR="00833B72" w:rsidRDefault="00833B72" w:rsidP="00833B72">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1</w:t>
      </w:r>
      <w:r w:rsidR="006D0763">
        <w:t>3</w:t>
      </w:r>
    </w:p>
    <w:p w14:paraId="61E68700" w14:textId="77777777" w:rsidR="00833B72" w:rsidRPr="00FD166F" w:rsidRDefault="00833B72" w:rsidP="00833B72">
      <w:pPr>
        <w:pStyle w:val="CH"/>
        <w:tabs>
          <w:tab w:val="clear" w:pos="7920"/>
        </w:tabs>
        <w:rPr>
          <w:b w:val="0"/>
        </w:rPr>
      </w:pPr>
      <w:r>
        <w:t>Online</w:t>
      </w:r>
      <w:r w:rsidRPr="00B070F5">
        <w:t xml:space="preserve">, </w:t>
      </w:r>
      <w:r>
        <w:t>24 February – 6 March,</w:t>
      </w:r>
      <w:r w:rsidRPr="00B070F5">
        <w:t xml:space="preserve"> 20</w:t>
      </w:r>
      <w:r>
        <w:t>20</w:t>
      </w:r>
      <w:r>
        <w:tab/>
      </w:r>
    </w:p>
    <w:p w14:paraId="39A0EE25" w14:textId="77777777" w:rsidR="00D309CC" w:rsidRPr="00B67FC6" w:rsidRDefault="00D309CC" w:rsidP="00D309CC">
      <w:pPr>
        <w:tabs>
          <w:tab w:val="left" w:pos="2160"/>
        </w:tabs>
        <w:rPr>
          <w:rFonts w:ascii="Arial" w:hAnsi="Arial" w:cs="Arial"/>
          <w:b/>
          <w:lang w:val="en-US"/>
        </w:rPr>
      </w:pPr>
    </w:p>
    <w:p w14:paraId="6DDCE159" w14:textId="305A649B" w:rsidR="00D309CC" w:rsidRPr="00B67FC6" w:rsidRDefault="00D309CC" w:rsidP="00D309CC">
      <w:pPr>
        <w:pStyle w:val="CH"/>
        <w:rPr>
          <w:b w:val="0"/>
          <w:lang w:val="en-US"/>
        </w:rPr>
      </w:pPr>
      <w:r w:rsidRPr="00B67FC6">
        <w:rPr>
          <w:lang w:val="en-US"/>
        </w:rPr>
        <w:t>Agenda item:</w:t>
      </w:r>
      <w:r w:rsidRPr="00B67FC6">
        <w:rPr>
          <w:lang w:val="en-US"/>
        </w:rPr>
        <w:tab/>
      </w:r>
      <w:r w:rsidR="006D0763" w:rsidRPr="006D0763">
        <w:rPr>
          <w:lang w:val="en-US"/>
        </w:rPr>
        <w:t>8.14.1.4</w:t>
      </w:r>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3B82E41E" w:rsidR="00D309CC" w:rsidRPr="00B67FC6" w:rsidRDefault="00D309CC" w:rsidP="00D309CC">
      <w:pPr>
        <w:pStyle w:val="CH"/>
        <w:rPr>
          <w:lang w:val="en-US"/>
        </w:rPr>
      </w:pPr>
      <w:r w:rsidRPr="00B67FC6">
        <w:rPr>
          <w:lang w:val="en-US"/>
        </w:rPr>
        <w:t>Title:</w:t>
      </w:r>
      <w:r w:rsidRPr="00B67FC6">
        <w:rPr>
          <w:lang w:val="en-US"/>
        </w:rPr>
        <w:tab/>
      </w:r>
      <w:r w:rsidR="006D0763" w:rsidRPr="006D0763">
        <w:rPr>
          <w:lang w:val="en-US"/>
        </w:rPr>
        <w:t>Remaining issues with the FR2 frequency separation class</w:t>
      </w:r>
    </w:p>
    <w:p w14:paraId="052B1E0C" w14:textId="3424AC1E" w:rsidR="00104BC6" w:rsidRPr="00B67FC6" w:rsidRDefault="00104BC6" w:rsidP="00D309CC">
      <w:pPr>
        <w:pStyle w:val="CH"/>
        <w:rPr>
          <w:lang w:val="en-US"/>
        </w:rPr>
      </w:pPr>
      <w:r w:rsidRPr="00B67FC6">
        <w:rPr>
          <w:lang w:val="en-US"/>
        </w:rPr>
        <w:t>WI/SI:</w:t>
      </w:r>
      <w:r w:rsidRPr="00B67FC6">
        <w:rPr>
          <w:lang w:val="en-US"/>
        </w:rPr>
        <w:tab/>
      </w:r>
      <w:r w:rsidR="00774153" w:rsidRPr="00B67FC6">
        <w:rPr>
          <w:lang w:val="en-US"/>
        </w:rPr>
        <w:t>NR_RF_FR2_req_enh</w:t>
      </w:r>
    </w:p>
    <w:p w14:paraId="6C6D1281" w14:textId="1478D3ED"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16</w:t>
      </w:r>
    </w:p>
    <w:p w14:paraId="2E4E044D" w14:textId="57F3B847" w:rsidR="00D309CC" w:rsidRPr="00B67FC6" w:rsidRDefault="00D309CC" w:rsidP="00D309CC">
      <w:pPr>
        <w:pStyle w:val="CH"/>
        <w:rPr>
          <w:lang w:val="en-US"/>
        </w:rPr>
      </w:pPr>
      <w:r w:rsidRPr="00B67FC6">
        <w:rPr>
          <w:lang w:val="en-US"/>
        </w:rPr>
        <w:t>Document for:</w:t>
      </w:r>
      <w:r w:rsidRPr="00B67FC6">
        <w:rPr>
          <w:lang w:val="en-US"/>
        </w:rPr>
        <w:tab/>
      </w:r>
      <w:r w:rsidR="006D0763">
        <w:rPr>
          <w:lang w:val="en-US"/>
        </w:rPr>
        <w:t>Approval</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2B17715B" w14:textId="4154519B" w:rsidR="00774153" w:rsidRPr="00B67FC6" w:rsidRDefault="00774153" w:rsidP="00774153">
      <w:pPr>
        <w:rPr>
          <w:lang w:val="en-US"/>
        </w:rPr>
      </w:pPr>
      <w:r w:rsidRPr="00B67FC6">
        <w:rPr>
          <w:lang w:val="en-US"/>
        </w:rPr>
        <w:t xml:space="preserve">The scope of the FR2 RF work item includes an objective to define FR2 DL </w:t>
      </w:r>
      <w:r w:rsidR="00B04359" w:rsidRPr="00B67FC6">
        <w:rPr>
          <w:lang w:val="en-US"/>
        </w:rPr>
        <w:t>intra-band non-contiguous</w:t>
      </w:r>
      <w:r w:rsidRPr="00B67FC6">
        <w:rPr>
          <w:lang w:val="en-US"/>
        </w:rPr>
        <w:t xml:space="preserve"> carrier aggregation requirements </w:t>
      </w:r>
      <w:r w:rsidRPr="00B67FC6">
        <w:rPr>
          <w:lang w:val="en-US"/>
        </w:rPr>
        <w:fldChar w:fldCharType="begin"/>
      </w:r>
      <w:r w:rsidRPr="00B67FC6">
        <w:rPr>
          <w:lang w:val="en-US"/>
        </w:rPr>
        <w:instrText xml:space="preserve"> REF _Ref16617333 \r \h </w:instrText>
      </w:r>
      <w:r w:rsidRPr="00B67FC6">
        <w:rPr>
          <w:lang w:val="en-US"/>
        </w:rPr>
      </w:r>
      <w:r w:rsidRPr="00B67FC6">
        <w:rPr>
          <w:lang w:val="en-US"/>
        </w:rPr>
        <w:fldChar w:fldCharType="separate"/>
      </w:r>
      <w:r w:rsidR="00010C08">
        <w:rPr>
          <w:lang w:val="en-US"/>
        </w:rPr>
        <w:t>[1]</w:t>
      </w:r>
      <w:r w:rsidRPr="00B67FC6">
        <w:rPr>
          <w:lang w:val="en-US"/>
        </w:rPr>
        <w:fldChar w:fldCharType="end"/>
      </w:r>
      <w:r w:rsidRPr="00B67FC6">
        <w:rPr>
          <w:lang w:val="en-US"/>
        </w:rPr>
        <w:t xml:space="preserve">.  </w:t>
      </w:r>
      <w:r w:rsidR="00C742F2" w:rsidRPr="00B67FC6">
        <w:rPr>
          <w:lang w:val="en-US"/>
        </w:rPr>
        <w:t xml:space="preserve">The following agreements were made during the RAN4 #92bis meeting </w:t>
      </w:r>
      <w:r w:rsidR="00C742F2" w:rsidRPr="00B67FC6">
        <w:rPr>
          <w:lang w:val="en-US"/>
        </w:rPr>
        <w:fldChar w:fldCharType="begin"/>
      </w:r>
      <w:r w:rsidR="00C742F2" w:rsidRPr="00B67FC6">
        <w:rPr>
          <w:lang w:val="en-US"/>
        </w:rPr>
        <w:instrText xml:space="preserve"> REF _Ref24079157 \r \h </w:instrText>
      </w:r>
      <w:r w:rsidR="00C742F2" w:rsidRPr="00B67FC6">
        <w:rPr>
          <w:lang w:val="en-US"/>
        </w:rPr>
      </w:r>
      <w:r w:rsidR="00C742F2" w:rsidRPr="00B67FC6">
        <w:rPr>
          <w:lang w:val="en-US"/>
        </w:rPr>
        <w:fldChar w:fldCharType="separate"/>
      </w:r>
      <w:r w:rsidR="00010C08">
        <w:rPr>
          <w:lang w:val="en-US"/>
        </w:rPr>
        <w:t>[2]</w:t>
      </w:r>
      <w:r w:rsidR="00C742F2" w:rsidRPr="00B67FC6">
        <w:rPr>
          <w:lang w:val="en-US"/>
        </w:rPr>
        <w:fldChar w:fldCharType="end"/>
      </w:r>
      <w:r w:rsidR="00C742F2" w:rsidRPr="00B67FC6">
        <w:rPr>
          <w:lang w:val="en-US"/>
        </w:rPr>
        <w:t>:</w:t>
      </w:r>
    </w:p>
    <w:tbl>
      <w:tblPr>
        <w:tblStyle w:val="TableGrid"/>
        <w:tblW w:w="0" w:type="auto"/>
        <w:tblLook w:val="04A0" w:firstRow="1" w:lastRow="0" w:firstColumn="1" w:lastColumn="0" w:noHBand="0" w:noVBand="1"/>
      </w:tblPr>
      <w:tblGrid>
        <w:gridCol w:w="9631"/>
      </w:tblGrid>
      <w:tr w:rsidR="00F01939" w14:paraId="4850661F" w14:textId="77777777" w:rsidTr="00F01939">
        <w:tc>
          <w:tcPr>
            <w:tcW w:w="9631" w:type="dxa"/>
          </w:tcPr>
          <w:p w14:paraId="4F6A8FCC" w14:textId="77777777" w:rsidR="00F01939" w:rsidRPr="00AC7371" w:rsidRDefault="00F01939" w:rsidP="00F01939">
            <w:pPr>
              <w:rPr>
                <w:sz w:val="16"/>
                <w:szCs w:val="16"/>
                <w:lang w:val="en-US"/>
              </w:rPr>
            </w:pPr>
            <w:r w:rsidRPr="00AC7371">
              <w:rPr>
                <w:sz w:val="16"/>
                <w:szCs w:val="16"/>
              </w:rPr>
              <w:t>WF</w:t>
            </w:r>
          </w:p>
          <w:p w14:paraId="461B6B76" w14:textId="77777777" w:rsidR="00F01939" w:rsidRDefault="00F01939" w:rsidP="00F01939">
            <w:pPr>
              <w:pStyle w:val="B1"/>
              <w:rPr>
                <w:sz w:val="16"/>
                <w:szCs w:val="16"/>
              </w:rPr>
            </w:pPr>
            <w:r w:rsidRPr="00AC7371">
              <w:rPr>
                <w:sz w:val="16"/>
                <w:szCs w:val="16"/>
              </w:rPr>
              <w:t>-</w:t>
            </w:r>
            <w:r w:rsidRPr="00AC7371">
              <w:rPr>
                <w:sz w:val="16"/>
                <w:szCs w:val="16"/>
              </w:rPr>
              <w:tab/>
            </w:r>
            <w:r w:rsidRPr="00C742F2">
              <w:rPr>
                <w:sz w:val="16"/>
                <w:szCs w:val="16"/>
              </w:rPr>
              <w:t>All DL CCs in the CA configuration shall have the same AoA at the UE</w:t>
            </w:r>
          </w:p>
          <w:p w14:paraId="24F66C5B" w14:textId="77777777" w:rsidR="00F01939" w:rsidRPr="00C742F2" w:rsidRDefault="00F01939" w:rsidP="00F01939">
            <w:pPr>
              <w:pStyle w:val="B1"/>
              <w:rPr>
                <w:sz w:val="16"/>
                <w:szCs w:val="16"/>
              </w:rPr>
            </w:pPr>
            <w:r>
              <w:rPr>
                <w:sz w:val="16"/>
                <w:szCs w:val="16"/>
              </w:rPr>
              <w:t>-</w:t>
            </w:r>
            <w:r>
              <w:rPr>
                <w:sz w:val="16"/>
                <w:szCs w:val="16"/>
              </w:rPr>
              <w:tab/>
            </w:r>
            <w:r w:rsidRPr="00C742F2">
              <w:rPr>
                <w:sz w:val="16"/>
                <w:szCs w:val="16"/>
              </w:rPr>
              <w:t>The UE’s DL coverage spectrum capability shall be contiguous (no gaps)</w:t>
            </w:r>
          </w:p>
          <w:p w14:paraId="1CA79469" w14:textId="77777777" w:rsidR="00F01939" w:rsidRPr="00C742F2" w:rsidRDefault="00F01939" w:rsidP="00F01939">
            <w:pPr>
              <w:pStyle w:val="B1"/>
              <w:ind w:firstLine="0"/>
              <w:rPr>
                <w:sz w:val="16"/>
                <w:szCs w:val="16"/>
              </w:rPr>
            </w:pPr>
            <w:r>
              <w:rPr>
                <w:sz w:val="16"/>
                <w:szCs w:val="16"/>
              </w:rPr>
              <w:t>-</w:t>
            </w:r>
            <w:r>
              <w:rPr>
                <w:sz w:val="16"/>
                <w:szCs w:val="16"/>
              </w:rPr>
              <w:tab/>
            </w:r>
            <w:r w:rsidRPr="00C742F2">
              <w:rPr>
                <w:sz w:val="16"/>
                <w:szCs w:val="16"/>
              </w:rPr>
              <w:t>DL CCs can be non-contiguous however</w:t>
            </w:r>
          </w:p>
          <w:p w14:paraId="63F54035" w14:textId="77777777" w:rsidR="00F01939" w:rsidRPr="00C742F2" w:rsidRDefault="00F01939" w:rsidP="00F01939">
            <w:pPr>
              <w:pStyle w:val="B1"/>
              <w:rPr>
                <w:sz w:val="16"/>
                <w:szCs w:val="16"/>
              </w:rPr>
            </w:pPr>
            <w:r>
              <w:rPr>
                <w:sz w:val="16"/>
                <w:szCs w:val="16"/>
              </w:rPr>
              <w:t>-</w:t>
            </w:r>
            <w:r>
              <w:rPr>
                <w:sz w:val="16"/>
                <w:szCs w:val="16"/>
              </w:rPr>
              <w:tab/>
            </w:r>
            <w:r w:rsidRPr="00C742F2">
              <w:rPr>
                <w:sz w:val="16"/>
                <w:szCs w:val="16"/>
              </w:rPr>
              <w:t>UE’s UL coverage spectrum capability &lt;= UE’s DL coverage spectrum capability, per TS38.101-2, v15.7</w:t>
            </w:r>
          </w:p>
          <w:p w14:paraId="52AD16B5" w14:textId="77777777" w:rsidR="00F01939" w:rsidRPr="00C742F2" w:rsidRDefault="00F01939" w:rsidP="00F01939">
            <w:pPr>
              <w:pStyle w:val="B1"/>
              <w:ind w:firstLine="0"/>
              <w:rPr>
                <w:sz w:val="16"/>
                <w:szCs w:val="16"/>
              </w:rPr>
            </w:pPr>
            <w:r>
              <w:rPr>
                <w:sz w:val="16"/>
                <w:szCs w:val="16"/>
              </w:rPr>
              <w:t>-</w:t>
            </w:r>
            <w:r>
              <w:rPr>
                <w:sz w:val="16"/>
                <w:szCs w:val="16"/>
              </w:rPr>
              <w:tab/>
            </w:r>
            <w:r w:rsidRPr="00C742F2">
              <w:rPr>
                <w:sz w:val="16"/>
                <w:szCs w:val="16"/>
              </w:rPr>
              <w:t>Operators are encouraged to clarify this restriction for rel-16</w:t>
            </w:r>
          </w:p>
          <w:p w14:paraId="554CF558" w14:textId="77777777" w:rsidR="00F01939" w:rsidRPr="00C742F2" w:rsidRDefault="00F01939" w:rsidP="00F01939">
            <w:pPr>
              <w:pStyle w:val="B1"/>
              <w:rPr>
                <w:sz w:val="16"/>
                <w:szCs w:val="16"/>
              </w:rPr>
            </w:pPr>
            <w:r>
              <w:rPr>
                <w:sz w:val="16"/>
                <w:szCs w:val="16"/>
              </w:rPr>
              <w:t>-</w:t>
            </w:r>
            <w:r>
              <w:rPr>
                <w:sz w:val="16"/>
                <w:szCs w:val="16"/>
              </w:rPr>
              <w:tab/>
            </w:r>
            <w:r w:rsidRPr="00C742F2">
              <w:rPr>
                <w:sz w:val="16"/>
                <w:szCs w:val="16"/>
              </w:rPr>
              <w:t>Rel-16 enhancement feature is definition of UE capability to support DL-only coverage spectrum for the case that the overall DL coverage is wider than 1400 MHz</w:t>
            </w:r>
          </w:p>
          <w:p w14:paraId="046D17C6" w14:textId="77777777" w:rsidR="00F01939" w:rsidRPr="00C742F2" w:rsidRDefault="00F01939" w:rsidP="00F01939">
            <w:pPr>
              <w:pStyle w:val="B1"/>
              <w:ind w:firstLine="0"/>
              <w:rPr>
                <w:sz w:val="16"/>
                <w:szCs w:val="16"/>
              </w:rPr>
            </w:pPr>
            <w:r>
              <w:rPr>
                <w:sz w:val="16"/>
                <w:szCs w:val="16"/>
              </w:rPr>
              <w:t>-</w:t>
            </w:r>
            <w:r>
              <w:rPr>
                <w:sz w:val="16"/>
                <w:szCs w:val="16"/>
              </w:rPr>
              <w:tab/>
            </w:r>
            <w:r w:rsidRPr="00C742F2">
              <w:rPr>
                <w:sz w:val="16"/>
                <w:szCs w:val="16"/>
              </w:rPr>
              <w:t>Enhancement is in addition to common UL+DL coverage spectrum of UE carried over from rel-15</w:t>
            </w:r>
          </w:p>
          <w:p w14:paraId="6835C27F" w14:textId="77777777" w:rsidR="00F01939" w:rsidRPr="00C742F2" w:rsidRDefault="00F01939" w:rsidP="00F01939">
            <w:pPr>
              <w:pStyle w:val="B1"/>
              <w:rPr>
                <w:sz w:val="16"/>
                <w:szCs w:val="16"/>
              </w:rPr>
            </w:pPr>
            <w:r>
              <w:rPr>
                <w:sz w:val="16"/>
                <w:szCs w:val="16"/>
              </w:rPr>
              <w:t>-</w:t>
            </w:r>
            <w:r>
              <w:rPr>
                <w:sz w:val="16"/>
                <w:szCs w:val="16"/>
              </w:rPr>
              <w:tab/>
            </w:r>
            <w:r w:rsidRPr="00C742F2">
              <w:rPr>
                <w:sz w:val="16"/>
                <w:szCs w:val="16"/>
              </w:rPr>
              <w:t>Rel-15 CA signaling framework shall be retained for Rel-16</w:t>
            </w:r>
          </w:p>
          <w:p w14:paraId="71736B7C" w14:textId="77777777" w:rsidR="00F01939" w:rsidRPr="00C742F2" w:rsidRDefault="00F01939" w:rsidP="00F01939">
            <w:pPr>
              <w:pStyle w:val="B1"/>
              <w:ind w:firstLine="0"/>
              <w:rPr>
                <w:sz w:val="16"/>
                <w:szCs w:val="16"/>
              </w:rPr>
            </w:pPr>
            <w:r>
              <w:rPr>
                <w:sz w:val="16"/>
                <w:szCs w:val="16"/>
              </w:rPr>
              <w:t>-</w:t>
            </w:r>
            <w:r>
              <w:rPr>
                <w:sz w:val="16"/>
                <w:szCs w:val="16"/>
              </w:rPr>
              <w:tab/>
            </w:r>
            <w:r w:rsidRPr="00C742F2">
              <w:rPr>
                <w:sz w:val="16"/>
                <w:szCs w:val="16"/>
              </w:rPr>
              <w:t>Additional signaling for enhancement feature description to network is FFS</w:t>
            </w:r>
          </w:p>
          <w:p w14:paraId="73EF5CB8" w14:textId="77777777" w:rsidR="00F01939" w:rsidRPr="00C742F2" w:rsidRDefault="00F01939" w:rsidP="00F01939">
            <w:pPr>
              <w:pStyle w:val="B1"/>
              <w:ind w:firstLine="0"/>
              <w:rPr>
                <w:sz w:val="16"/>
                <w:szCs w:val="16"/>
              </w:rPr>
            </w:pPr>
            <w:r>
              <w:rPr>
                <w:sz w:val="16"/>
                <w:szCs w:val="16"/>
              </w:rPr>
              <w:t>-</w:t>
            </w:r>
            <w:r>
              <w:rPr>
                <w:sz w:val="16"/>
                <w:szCs w:val="16"/>
              </w:rPr>
              <w:tab/>
            </w:r>
            <w:r w:rsidRPr="00C742F2">
              <w:rPr>
                <w:sz w:val="16"/>
                <w:szCs w:val="16"/>
              </w:rPr>
              <w:t>RAN4 will introduce at least one new frequency separation class of 2400 MHz</w:t>
            </w:r>
          </w:p>
          <w:p w14:paraId="2FC8E044" w14:textId="5F0F1166" w:rsidR="00F01939" w:rsidRPr="00F01939" w:rsidRDefault="00F01939" w:rsidP="00F01939">
            <w:pPr>
              <w:pStyle w:val="B1"/>
              <w:rPr>
                <w:sz w:val="16"/>
                <w:szCs w:val="16"/>
              </w:rPr>
            </w:pPr>
            <w:r>
              <w:rPr>
                <w:sz w:val="16"/>
                <w:szCs w:val="16"/>
              </w:rPr>
              <w:t>-</w:t>
            </w:r>
            <w:r>
              <w:rPr>
                <w:sz w:val="16"/>
                <w:szCs w:val="16"/>
              </w:rPr>
              <w:tab/>
            </w:r>
            <w:r w:rsidRPr="00C742F2">
              <w:rPr>
                <w:sz w:val="16"/>
                <w:szCs w:val="16"/>
              </w:rPr>
              <w:t>‘Coverage Spectrum’ here means the range of UL or DL frequencies that can be populated with an UL or DL CC in CA mode</w:t>
            </w:r>
          </w:p>
        </w:tc>
      </w:tr>
    </w:tbl>
    <w:p w14:paraId="3D648BFF" w14:textId="3DA9368C" w:rsidR="00774153" w:rsidRDefault="00774153" w:rsidP="00774153">
      <w:pPr>
        <w:rPr>
          <w:lang w:val="en-US"/>
        </w:rPr>
      </w:pPr>
    </w:p>
    <w:p w14:paraId="1F9E7564" w14:textId="4C09A1C5" w:rsidR="00F01939" w:rsidRDefault="00F01939" w:rsidP="00774153">
      <w:pPr>
        <w:rPr>
          <w:lang w:val="en-US"/>
        </w:rPr>
      </w:pPr>
      <w:r>
        <w:rPr>
          <w:lang w:val="en-US"/>
        </w:rPr>
        <w:t xml:space="preserve">The following agreements were made during the RAN4 #93 meeting </w:t>
      </w:r>
      <w:r>
        <w:rPr>
          <w:lang w:val="en-US"/>
        </w:rPr>
        <w:fldChar w:fldCharType="begin"/>
      </w:r>
      <w:r>
        <w:rPr>
          <w:lang w:val="en-US"/>
        </w:rPr>
        <w:instrText xml:space="preserve"> REF _Ref32329835 \r \h </w:instrText>
      </w:r>
      <w:r>
        <w:rPr>
          <w:lang w:val="en-US"/>
        </w:rPr>
      </w:r>
      <w:r>
        <w:rPr>
          <w:lang w:val="en-US"/>
        </w:rPr>
        <w:fldChar w:fldCharType="separate"/>
      </w:r>
      <w:r w:rsidR="00010C08">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7D48E9" w14:paraId="60C91428" w14:textId="77777777" w:rsidTr="007D48E9">
        <w:tc>
          <w:tcPr>
            <w:tcW w:w="9631" w:type="dxa"/>
          </w:tcPr>
          <w:p w14:paraId="22A9E9AA" w14:textId="6E1E9372" w:rsidR="007D48E9" w:rsidRPr="00CC54CB" w:rsidRDefault="007D48E9" w:rsidP="007D48E9">
            <w:pPr>
              <w:rPr>
                <w:sz w:val="16"/>
                <w:szCs w:val="16"/>
              </w:rPr>
            </w:pPr>
            <w:r w:rsidRPr="00CC54CB">
              <w:rPr>
                <w:sz w:val="16"/>
                <w:szCs w:val="16"/>
              </w:rPr>
              <w:t>W</w:t>
            </w:r>
            <w:r w:rsidRPr="00CC54CB">
              <w:rPr>
                <w:sz w:val="16"/>
                <w:szCs w:val="16"/>
              </w:rPr>
              <w:t>ay forward on signaling aspects</w:t>
            </w:r>
          </w:p>
          <w:p w14:paraId="0BA38F18" w14:textId="5662734F" w:rsidR="00061C04" w:rsidRPr="00CC54CB" w:rsidRDefault="00061C04" w:rsidP="00061C04">
            <w:pPr>
              <w:pStyle w:val="B1"/>
              <w:rPr>
                <w:sz w:val="16"/>
                <w:szCs w:val="16"/>
              </w:rPr>
            </w:pPr>
            <w:r w:rsidRPr="00CC54CB">
              <w:rPr>
                <w:sz w:val="16"/>
                <w:szCs w:val="16"/>
              </w:rPr>
              <w:t>-</w:t>
            </w:r>
            <w:r w:rsidRPr="00CC54CB">
              <w:rPr>
                <w:sz w:val="16"/>
                <w:szCs w:val="16"/>
              </w:rPr>
              <w:tab/>
              <w:t>For Rel-16, extend the frequency separation class definition to include the following values for frequency separation ‘Fs’: {800, 1000, 1200, 1400, 1600, 1800, 2000, 2200, 2400} MHz</w:t>
            </w:r>
          </w:p>
          <w:p w14:paraId="1CB5353B" w14:textId="3D4141D8" w:rsidR="00061C04" w:rsidRPr="00CC54CB" w:rsidRDefault="00061C04" w:rsidP="00061C04">
            <w:pPr>
              <w:pStyle w:val="B2"/>
              <w:rPr>
                <w:sz w:val="16"/>
                <w:szCs w:val="16"/>
              </w:rPr>
            </w:pPr>
            <w:r w:rsidRPr="00CC54CB">
              <w:rPr>
                <w:sz w:val="16"/>
                <w:szCs w:val="16"/>
              </w:rPr>
              <w:t>-</w:t>
            </w:r>
            <w:r w:rsidRPr="00CC54CB">
              <w:rPr>
                <w:sz w:val="16"/>
                <w:szCs w:val="16"/>
              </w:rPr>
              <w:tab/>
            </w:r>
            <w:r w:rsidRPr="00CC54CB">
              <w:rPr>
                <w:sz w:val="16"/>
                <w:szCs w:val="16"/>
              </w:rPr>
              <w:t>Fs values &gt; 1400 MHz apply to downlink frequency separation only</w:t>
            </w:r>
          </w:p>
          <w:p w14:paraId="6EC7E409" w14:textId="0B87C7AD" w:rsidR="00061C04" w:rsidRPr="00CC54CB" w:rsidRDefault="00061C04" w:rsidP="00061C04">
            <w:pPr>
              <w:pStyle w:val="B1"/>
              <w:rPr>
                <w:sz w:val="16"/>
                <w:szCs w:val="16"/>
              </w:rPr>
            </w:pPr>
            <w:r w:rsidRPr="00CC54CB">
              <w:rPr>
                <w:sz w:val="16"/>
                <w:szCs w:val="16"/>
              </w:rPr>
              <w:t>-</w:t>
            </w:r>
            <w:r w:rsidRPr="00CC54CB">
              <w:rPr>
                <w:sz w:val="16"/>
                <w:szCs w:val="16"/>
              </w:rPr>
              <w:tab/>
            </w:r>
            <w:r w:rsidRPr="00CC54CB">
              <w:rPr>
                <w:sz w:val="16"/>
                <w:szCs w:val="16"/>
              </w:rPr>
              <w:t>The signaling for DL-only frequency spectrum can be defined as below:</w:t>
            </w:r>
          </w:p>
          <w:p w14:paraId="058411AD" w14:textId="7303E0E8" w:rsidR="00061C04" w:rsidRPr="00CC54CB" w:rsidRDefault="00061C04" w:rsidP="00061C04">
            <w:pPr>
              <w:pStyle w:val="B2"/>
              <w:rPr>
                <w:sz w:val="16"/>
                <w:szCs w:val="16"/>
              </w:rPr>
            </w:pPr>
            <w:r w:rsidRPr="00CC54CB">
              <w:rPr>
                <w:sz w:val="16"/>
                <w:szCs w:val="16"/>
              </w:rPr>
              <w:t>-</w:t>
            </w:r>
            <w:r w:rsidRPr="00CC54CB">
              <w:rPr>
                <w:sz w:val="16"/>
                <w:szCs w:val="16"/>
              </w:rPr>
              <w:tab/>
            </w:r>
            <w:r w:rsidRPr="00CC54CB">
              <w:rPr>
                <w:sz w:val="16"/>
                <w:szCs w:val="16"/>
              </w:rPr>
              <w:t>Alt1: Introduce a new DL-only frequency separation class, ‘Fsd’, such that:</w:t>
            </w:r>
          </w:p>
          <w:p w14:paraId="36A6DC9C" w14:textId="76D812CC" w:rsidR="00061C04" w:rsidRPr="00CC54CB" w:rsidRDefault="00061C04" w:rsidP="00061C04">
            <w:pPr>
              <w:pStyle w:val="B3"/>
              <w:rPr>
                <w:sz w:val="16"/>
                <w:szCs w:val="16"/>
              </w:rPr>
            </w:pPr>
            <w:r w:rsidRPr="00CC54CB">
              <w:rPr>
                <w:sz w:val="16"/>
                <w:szCs w:val="16"/>
              </w:rPr>
              <w:t>-</w:t>
            </w:r>
            <w:r w:rsidRPr="00CC54CB">
              <w:rPr>
                <w:sz w:val="16"/>
                <w:szCs w:val="16"/>
              </w:rPr>
              <w:tab/>
            </w:r>
            <w:r w:rsidRPr="00CC54CB">
              <w:rPr>
                <w:sz w:val="16"/>
                <w:szCs w:val="16"/>
              </w:rPr>
              <w:t>A UE which has no restriction on the placement of UL coverage spectrum within the DL coverage spectrum does not signal this parameter</w:t>
            </w:r>
          </w:p>
          <w:p w14:paraId="3A6A2071" w14:textId="5A561950" w:rsidR="00061C04" w:rsidRPr="00CC54CB" w:rsidRDefault="00061C04" w:rsidP="00061C04">
            <w:pPr>
              <w:pStyle w:val="B3"/>
              <w:rPr>
                <w:sz w:val="16"/>
                <w:szCs w:val="16"/>
              </w:rPr>
            </w:pPr>
            <w:r w:rsidRPr="00CC54CB">
              <w:rPr>
                <w:sz w:val="16"/>
                <w:szCs w:val="16"/>
              </w:rPr>
              <w:t>-</w:t>
            </w:r>
            <w:r w:rsidRPr="00CC54CB">
              <w:rPr>
                <w:sz w:val="16"/>
                <w:szCs w:val="16"/>
              </w:rPr>
              <w:tab/>
            </w:r>
            <w:r w:rsidRPr="00CC54CB">
              <w:rPr>
                <w:sz w:val="16"/>
                <w:szCs w:val="16"/>
              </w:rPr>
              <w:t>A UE which needs to restrict the placement of UL coverage spectrum within the DL coverage spectrum signals Fs and also signals Fsd</w:t>
            </w:r>
          </w:p>
          <w:p w14:paraId="146B6BBD" w14:textId="3415FFFC" w:rsidR="00061C04" w:rsidRPr="00CC54CB" w:rsidRDefault="00061C04" w:rsidP="00061C04">
            <w:pPr>
              <w:pStyle w:val="B3"/>
              <w:rPr>
                <w:sz w:val="16"/>
                <w:szCs w:val="16"/>
              </w:rPr>
            </w:pPr>
            <w:r w:rsidRPr="00CC54CB">
              <w:rPr>
                <w:sz w:val="16"/>
                <w:szCs w:val="16"/>
              </w:rPr>
              <w:t>-</w:t>
            </w:r>
            <w:r w:rsidRPr="00CC54CB">
              <w:rPr>
                <w:sz w:val="16"/>
                <w:szCs w:val="16"/>
              </w:rPr>
              <w:tab/>
            </w:r>
            <w:r w:rsidRPr="00CC54CB">
              <w:rPr>
                <w:sz w:val="16"/>
                <w:szCs w:val="16"/>
              </w:rPr>
              <w:t>The following values for Fsd shall be used: {200, 400, 600, 800, 1000} MHz</w:t>
            </w:r>
          </w:p>
          <w:p w14:paraId="7810FF95" w14:textId="4B0A2BEE" w:rsidR="00061C04" w:rsidRPr="00CC54CB" w:rsidRDefault="00061C04" w:rsidP="00061C04">
            <w:pPr>
              <w:pStyle w:val="B2"/>
              <w:rPr>
                <w:sz w:val="16"/>
                <w:szCs w:val="16"/>
              </w:rPr>
            </w:pPr>
            <w:r w:rsidRPr="00CC54CB">
              <w:rPr>
                <w:sz w:val="16"/>
                <w:szCs w:val="16"/>
              </w:rPr>
              <w:t>-</w:t>
            </w:r>
            <w:r w:rsidRPr="00CC54CB">
              <w:rPr>
                <w:sz w:val="16"/>
                <w:szCs w:val="16"/>
              </w:rPr>
              <w:tab/>
            </w:r>
            <w:r w:rsidRPr="00CC54CB">
              <w:rPr>
                <w:sz w:val="16"/>
                <w:szCs w:val="16"/>
              </w:rPr>
              <w:t>Alt2: Per RF chain reporting of Fs</w:t>
            </w:r>
          </w:p>
          <w:p w14:paraId="3F29F3BC" w14:textId="60442AF1" w:rsidR="00061C04" w:rsidRPr="00CC54CB" w:rsidRDefault="00061C04" w:rsidP="00061C04">
            <w:pPr>
              <w:pStyle w:val="B1"/>
              <w:rPr>
                <w:sz w:val="16"/>
                <w:szCs w:val="16"/>
              </w:rPr>
            </w:pPr>
            <w:r w:rsidRPr="00CC54CB">
              <w:rPr>
                <w:sz w:val="16"/>
                <w:szCs w:val="16"/>
              </w:rPr>
              <w:t>-</w:t>
            </w:r>
            <w:r w:rsidRPr="00CC54CB">
              <w:rPr>
                <w:sz w:val="16"/>
                <w:szCs w:val="16"/>
              </w:rPr>
              <w:tab/>
            </w:r>
            <w:r w:rsidRPr="00CC54CB">
              <w:rPr>
                <w:sz w:val="16"/>
                <w:szCs w:val="16"/>
              </w:rPr>
              <w:t>The spectrum covered by the DL-only frequency separation shall be located relative to bidirectional spectrum(*) in one of two configurations:</w:t>
            </w:r>
          </w:p>
          <w:p w14:paraId="47784FD5" w14:textId="32304574" w:rsidR="00061C04" w:rsidRPr="00CC54CB" w:rsidRDefault="00061C04" w:rsidP="00061C04">
            <w:pPr>
              <w:pStyle w:val="B2"/>
              <w:rPr>
                <w:sz w:val="16"/>
                <w:szCs w:val="16"/>
              </w:rPr>
            </w:pPr>
            <w:r w:rsidRPr="00CC54CB">
              <w:rPr>
                <w:sz w:val="16"/>
                <w:szCs w:val="16"/>
              </w:rPr>
              <w:lastRenderedPageBreak/>
              <w:t>-</w:t>
            </w:r>
            <w:r w:rsidRPr="00CC54CB">
              <w:rPr>
                <w:sz w:val="16"/>
                <w:szCs w:val="16"/>
              </w:rPr>
              <w:tab/>
            </w:r>
            <w:r w:rsidRPr="00CC54CB">
              <w:rPr>
                <w:sz w:val="16"/>
                <w:szCs w:val="16"/>
              </w:rPr>
              <w:t>Extends on one side</w:t>
            </w:r>
          </w:p>
          <w:p w14:paraId="6D9B84BA" w14:textId="00E54E2F" w:rsidR="00061C04" w:rsidRPr="00CC54CB" w:rsidRDefault="00061C04" w:rsidP="00061C04">
            <w:pPr>
              <w:pStyle w:val="B2"/>
              <w:rPr>
                <w:sz w:val="16"/>
                <w:szCs w:val="16"/>
              </w:rPr>
            </w:pPr>
            <w:r w:rsidRPr="00CC54CB">
              <w:rPr>
                <w:sz w:val="16"/>
                <w:szCs w:val="16"/>
              </w:rPr>
              <w:t>-</w:t>
            </w:r>
            <w:r w:rsidRPr="00CC54CB">
              <w:rPr>
                <w:sz w:val="16"/>
                <w:szCs w:val="16"/>
              </w:rPr>
              <w:tab/>
            </w:r>
            <w:r w:rsidRPr="00CC54CB">
              <w:rPr>
                <w:sz w:val="16"/>
                <w:szCs w:val="16"/>
              </w:rPr>
              <w:t>Extends equally on both sides, half on each side</w:t>
            </w:r>
          </w:p>
          <w:p w14:paraId="023FD86C" w14:textId="77F508C8" w:rsidR="00061C04" w:rsidRPr="00CC54CB" w:rsidRDefault="00061C04" w:rsidP="00061C04">
            <w:pPr>
              <w:pStyle w:val="B3"/>
              <w:rPr>
                <w:sz w:val="16"/>
                <w:szCs w:val="16"/>
              </w:rPr>
            </w:pPr>
            <w:r w:rsidRPr="00CC54CB">
              <w:rPr>
                <w:sz w:val="16"/>
                <w:szCs w:val="16"/>
              </w:rPr>
              <w:t>-</w:t>
            </w:r>
            <w:r w:rsidRPr="00CC54CB">
              <w:rPr>
                <w:sz w:val="16"/>
                <w:szCs w:val="16"/>
              </w:rPr>
              <w:tab/>
            </w:r>
            <w:r w:rsidRPr="00CC54CB">
              <w:rPr>
                <w:sz w:val="16"/>
                <w:szCs w:val="16"/>
              </w:rPr>
              <w:t>FFS if both-sided DL-only spectrum can be dropped for rel-16.</w:t>
            </w:r>
          </w:p>
          <w:p w14:paraId="665E5CA8" w14:textId="0E5EEB34" w:rsidR="00061C04" w:rsidRPr="00CC54CB" w:rsidRDefault="00061C04" w:rsidP="00061C04">
            <w:pPr>
              <w:pStyle w:val="B3"/>
              <w:rPr>
                <w:sz w:val="16"/>
                <w:szCs w:val="16"/>
              </w:rPr>
            </w:pPr>
            <w:r w:rsidRPr="00CC54CB">
              <w:rPr>
                <w:sz w:val="16"/>
                <w:szCs w:val="16"/>
              </w:rPr>
              <w:t>-</w:t>
            </w:r>
            <w:r w:rsidRPr="00CC54CB">
              <w:rPr>
                <w:sz w:val="16"/>
                <w:szCs w:val="16"/>
              </w:rPr>
              <w:tab/>
            </w:r>
            <w:r w:rsidRPr="00CC54CB">
              <w:rPr>
                <w:sz w:val="16"/>
                <w:szCs w:val="16"/>
              </w:rPr>
              <w:t>Single bit can be used to indicate configuration if both possibilities retained</w:t>
            </w:r>
          </w:p>
          <w:p w14:paraId="4D15866E" w14:textId="6A71E35C" w:rsidR="00061C04" w:rsidRPr="00CC54CB" w:rsidRDefault="00061C04" w:rsidP="00061C04">
            <w:pPr>
              <w:pStyle w:val="B1"/>
              <w:rPr>
                <w:sz w:val="16"/>
                <w:szCs w:val="16"/>
              </w:rPr>
            </w:pPr>
            <w:r w:rsidRPr="00CC54CB">
              <w:rPr>
                <w:sz w:val="16"/>
                <w:szCs w:val="16"/>
              </w:rPr>
              <w:t>-</w:t>
            </w:r>
            <w:r w:rsidRPr="00CC54CB">
              <w:rPr>
                <w:sz w:val="16"/>
                <w:szCs w:val="16"/>
              </w:rPr>
              <w:tab/>
            </w:r>
            <w:r w:rsidRPr="00CC54CB">
              <w:rPr>
                <w:sz w:val="16"/>
                <w:szCs w:val="16"/>
              </w:rPr>
              <w:t xml:space="preserve"> Total DL frequency Fs+Fsd &lt;= 2400 MHz, where Fs &gt;= Fsd</w:t>
            </w:r>
          </w:p>
          <w:p w14:paraId="04483294" w14:textId="4DD2FBEF" w:rsidR="007D48E9" w:rsidRPr="007D48E9" w:rsidRDefault="00061C04" w:rsidP="00061C04">
            <w:pPr>
              <w:pStyle w:val="B1"/>
              <w:rPr>
                <w:lang w:val="en-US"/>
              </w:rPr>
            </w:pPr>
            <w:r w:rsidRPr="00CC54CB">
              <w:rPr>
                <w:sz w:val="16"/>
                <w:szCs w:val="16"/>
              </w:rPr>
              <w:t>(*) Bidirectional spectrum is spectrum covered by DL frequency separation</w:t>
            </w:r>
          </w:p>
        </w:tc>
      </w:tr>
    </w:tbl>
    <w:p w14:paraId="4E888A08" w14:textId="2E2C267A" w:rsidR="00F01939" w:rsidRDefault="00F01939" w:rsidP="00774153">
      <w:pPr>
        <w:rPr>
          <w:lang w:val="en-US"/>
        </w:rPr>
      </w:pPr>
    </w:p>
    <w:p w14:paraId="6ECCD8EE" w14:textId="32634F51" w:rsidR="00061C04" w:rsidRPr="00B67FC6" w:rsidRDefault="00061C04" w:rsidP="00774153">
      <w:pPr>
        <w:rPr>
          <w:lang w:val="en-US"/>
        </w:rPr>
      </w:pPr>
      <w:r>
        <w:rPr>
          <w:lang w:val="en-US"/>
        </w:rPr>
        <w:t xml:space="preserve">Furthermore, the CR implementing the enhancement of the frequency separation class definition was technically endorsed in </w:t>
      </w:r>
      <w:r>
        <w:rPr>
          <w:lang w:val="en-US"/>
        </w:rPr>
        <w:fldChar w:fldCharType="begin"/>
      </w:r>
      <w:r>
        <w:rPr>
          <w:lang w:val="en-US"/>
        </w:rPr>
        <w:instrText xml:space="preserve"> REF _Ref32330023 \r \h </w:instrText>
      </w:r>
      <w:r>
        <w:rPr>
          <w:lang w:val="en-US"/>
        </w:rPr>
      </w:r>
      <w:r>
        <w:rPr>
          <w:lang w:val="en-US"/>
        </w:rPr>
        <w:fldChar w:fldCharType="separate"/>
      </w:r>
      <w:r w:rsidR="00010C08">
        <w:rPr>
          <w:lang w:val="en-US"/>
        </w:rPr>
        <w:t>[4]</w:t>
      </w:r>
      <w:r>
        <w:rPr>
          <w:lang w:val="en-US"/>
        </w:rPr>
        <w:fldChar w:fldCharType="end"/>
      </w:r>
      <w:r>
        <w:rPr>
          <w:lang w:val="en-US"/>
        </w:rPr>
        <w:t>.</w:t>
      </w:r>
    </w:p>
    <w:p w14:paraId="06E92CC7" w14:textId="14E7EFB0" w:rsidR="008E7986" w:rsidRPr="00B67FC6" w:rsidRDefault="005F42E3" w:rsidP="00061C04">
      <w:pPr>
        <w:rPr>
          <w:lang w:val="en-US"/>
        </w:rPr>
      </w:pPr>
      <w:r w:rsidRPr="00B67FC6">
        <w:rPr>
          <w:lang w:val="en-US"/>
        </w:rPr>
        <w:t xml:space="preserve">This </w:t>
      </w:r>
      <w:r w:rsidR="006C3B9C" w:rsidRPr="00B67FC6">
        <w:rPr>
          <w:lang w:val="en-US"/>
        </w:rPr>
        <w:t>contribution</w:t>
      </w:r>
      <w:r w:rsidR="00C742F2" w:rsidRPr="00B67FC6">
        <w:rPr>
          <w:lang w:val="en-US"/>
        </w:rPr>
        <w:t xml:space="preserve"> </w:t>
      </w:r>
      <w:r w:rsidR="00061C04">
        <w:rPr>
          <w:lang w:val="en-US"/>
        </w:rPr>
        <w:t xml:space="preserve">provides our views related to the remaining issues associated with </w:t>
      </w:r>
      <w:r w:rsidR="00C742F2" w:rsidRPr="00B67FC6">
        <w:rPr>
          <w:lang w:val="en-US"/>
        </w:rPr>
        <w:t>frequency separation class for FR2 intra-band non-contiguous carrier aggregation.</w:t>
      </w:r>
    </w:p>
    <w:p w14:paraId="3A67921B" w14:textId="06554855" w:rsidR="008E7986" w:rsidRPr="00B67FC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64DDA575" w14:textId="77777777" w:rsidR="005E4138" w:rsidRDefault="00B67FC6" w:rsidP="0090166D">
      <w:pPr>
        <w:rPr>
          <w:lang w:val="en-US"/>
        </w:rPr>
      </w:pPr>
      <w:r w:rsidRPr="00B67FC6">
        <w:rPr>
          <w:lang w:val="en-US"/>
        </w:rPr>
        <w:t xml:space="preserve">In our understanding, the UE can convey sufficient information about its RF CA capabilities to the network by signaling </w:t>
      </w:r>
      <w:r w:rsidR="005E4138">
        <w:rPr>
          <w:lang w:val="en-US"/>
        </w:rPr>
        <w:t>the following three aspects:</w:t>
      </w:r>
    </w:p>
    <w:p w14:paraId="117702E4" w14:textId="77777777" w:rsidR="005E4138" w:rsidRDefault="005E4138" w:rsidP="005E4138">
      <w:pPr>
        <w:pStyle w:val="B1"/>
        <w:rPr>
          <w:lang w:val="en-US"/>
        </w:rPr>
      </w:pPr>
      <w:r>
        <w:rPr>
          <w:lang w:val="en-US"/>
        </w:rPr>
        <w:t>-</w:t>
      </w:r>
      <w:r>
        <w:rPr>
          <w:lang w:val="en-US"/>
        </w:rPr>
        <w:tab/>
        <w:t>S</w:t>
      </w:r>
      <w:r w:rsidR="00B67FC6" w:rsidRPr="00B67FC6">
        <w:rPr>
          <w:lang w:val="en-US"/>
        </w:rPr>
        <w:t>upport for specific b</w:t>
      </w:r>
      <w:r w:rsidR="00B67FC6">
        <w:rPr>
          <w:lang w:val="en-US"/>
        </w:rPr>
        <w:t>and combinations</w:t>
      </w:r>
    </w:p>
    <w:p w14:paraId="379AFA84" w14:textId="6FE7A575" w:rsidR="005E4138" w:rsidRDefault="005E4138" w:rsidP="005E4138">
      <w:pPr>
        <w:pStyle w:val="B1"/>
        <w:rPr>
          <w:lang w:val="en-US"/>
        </w:rPr>
      </w:pPr>
      <w:r>
        <w:rPr>
          <w:lang w:val="en-US"/>
        </w:rPr>
        <w:t>-</w:t>
      </w:r>
      <w:r>
        <w:rPr>
          <w:lang w:val="en-US"/>
        </w:rPr>
        <w:tab/>
        <w:t>The f</w:t>
      </w:r>
      <w:r w:rsidR="00B67FC6">
        <w:rPr>
          <w:lang w:val="en-US"/>
        </w:rPr>
        <w:t>requency separation class</w:t>
      </w:r>
    </w:p>
    <w:p w14:paraId="4A0C706D" w14:textId="08CFC992" w:rsidR="005E4138" w:rsidRDefault="005E4138" w:rsidP="005E4138">
      <w:pPr>
        <w:pStyle w:val="B1"/>
        <w:rPr>
          <w:lang w:val="en-US"/>
        </w:rPr>
      </w:pPr>
      <w:r>
        <w:rPr>
          <w:lang w:val="en-US"/>
        </w:rPr>
        <w:t>-</w:t>
      </w:r>
      <w:r>
        <w:rPr>
          <w:lang w:val="en-US"/>
        </w:rPr>
        <w:tab/>
        <w:t>A restriction on the allocation of DL carriers relative to the UL carriers (Fsd from the agreed way forward)</w:t>
      </w:r>
    </w:p>
    <w:p w14:paraId="773D5F7C" w14:textId="04A45A41" w:rsidR="00F075AF" w:rsidRDefault="00B67FC6" w:rsidP="005E4138">
      <w:pPr>
        <w:rPr>
          <w:lang w:val="en-US"/>
        </w:rPr>
      </w:pPr>
      <w:r>
        <w:rPr>
          <w:lang w:val="en-US"/>
        </w:rPr>
        <w:t>Based on this information, the network can configure the UE with CCs from the set of UE supported combinations</w:t>
      </w:r>
      <w:r w:rsidR="005E4138">
        <w:rPr>
          <w:lang w:val="en-US"/>
        </w:rPr>
        <w:t xml:space="preserve"> and according to the applicable restrictions.</w:t>
      </w:r>
      <w:r w:rsidR="00F075AF">
        <w:rPr>
          <w:lang w:val="en-US"/>
        </w:rPr>
        <w:t xml:space="preserve">  We can envision two potential allocation cases, as shown in Figure 1 below.</w:t>
      </w:r>
    </w:p>
    <w:p w14:paraId="302712D5" w14:textId="77777777" w:rsidR="00F075AF" w:rsidRDefault="00F075AF" w:rsidP="005E4138">
      <w:pPr>
        <w:rPr>
          <w:lang w:val="en-US"/>
        </w:rPr>
      </w:pPr>
    </w:p>
    <w:p w14:paraId="10C51BB0" w14:textId="30F052A9" w:rsidR="005E4138" w:rsidRDefault="00F075AF" w:rsidP="00F075AF">
      <w:pPr>
        <w:jc w:val="center"/>
        <w:rPr>
          <w:lang w:val="en-US"/>
        </w:rPr>
      </w:pPr>
      <w:r w:rsidRPr="00F075AF">
        <w:rPr>
          <w:lang w:val="en-US"/>
        </w:rPr>
        <w:drawing>
          <wp:inline distT="0" distB="0" distL="0" distR="0" wp14:anchorId="36C39D77" wp14:editId="5505AFC6">
            <wp:extent cx="4572000" cy="850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850285"/>
                    </a:xfrm>
                    <a:prstGeom prst="rect">
                      <a:avLst/>
                    </a:prstGeom>
                  </pic:spPr>
                </pic:pic>
              </a:graphicData>
            </a:graphic>
          </wp:inline>
        </w:drawing>
      </w:r>
    </w:p>
    <w:p w14:paraId="64455F8F" w14:textId="21E72107" w:rsidR="00F075AF" w:rsidRDefault="00F075AF" w:rsidP="00F075AF">
      <w:pPr>
        <w:keepNext/>
        <w:jc w:val="center"/>
      </w:pPr>
      <w:r w:rsidRPr="00F075AF">
        <w:rPr>
          <w:lang w:val="en-US"/>
        </w:rPr>
        <w:drawing>
          <wp:inline distT="0" distB="0" distL="0" distR="0" wp14:anchorId="4DDA5E69" wp14:editId="4F51803C">
            <wp:extent cx="4572000" cy="8569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856924"/>
                    </a:xfrm>
                    <a:prstGeom prst="rect">
                      <a:avLst/>
                    </a:prstGeom>
                  </pic:spPr>
                </pic:pic>
              </a:graphicData>
            </a:graphic>
          </wp:inline>
        </w:drawing>
      </w:r>
    </w:p>
    <w:p w14:paraId="3AEABC32" w14:textId="3F30468E" w:rsidR="004C4EE2" w:rsidRDefault="004C4EE2" w:rsidP="00F075AF">
      <w:pPr>
        <w:keepNext/>
        <w:jc w:val="center"/>
      </w:pPr>
      <w:r w:rsidRPr="004C4EE2">
        <w:drawing>
          <wp:inline distT="0" distB="0" distL="0" distR="0" wp14:anchorId="3A0F88FB" wp14:editId="1E50828A">
            <wp:extent cx="4572000" cy="8403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840326"/>
                    </a:xfrm>
                    <a:prstGeom prst="rect">
                      <a:avLst/>
                    </a:prstGeom>
                  </pic:spPr>
                </pic:pic>
              </a:graphicData>
            </a:graphic>
          </wp:inline>
        </w:drawing>
      </w:r>
    </w:p>
    <w:p w14:paraId="18509F83" w14:textId="53DFBE5E" w:rsidR="005E4138" w:rsidRDefault="00F075AF" w:rsidP="00F075AF">
      <w:pPr>
        <w:pStyle w:val="Caption"/>
        <w:jc w:val="center"/>
        <w:rPr>
          <w:lang w:val="en-US"/>
        </w:rPr>
      </w:pPr>
      <w:r>
        <w:t xml:space="preserve">Figure </w:t>
      </w:r>
      <w:r>
        <w:fldChar w:fldCharType="begin"/>
      </w:r>
      <w:r>
        <w:instrText xml:space="preserve"> SEQ Figure \* ARABIC </w:instrText>
      </w:r>
      <w:r>
        <w:fldChar w:fldCharType="separate"/>
      </w:r>
      <w:r w:rsidR="00010C08">
        <w:rPr>
          <w:noProof/>
        </w:rPr>
        <w:t>1</w:t>
      </w:r>
      <w:r>
        <w:fldChar w:fldCharType="end"/>
      </w:r>
      <w:r>
        <w:t>: Illustration of potential application of frequency separation class signaling</w:t>
      </w:r>
    </w:p>
    <w:p w14:paraId="5ABC878D" w14:textId="1E5D0A5B" w:rsidR="005579A3" w:rsidRDefault="005579A3" w:rsidP="0090166D">
      <w:pPr>
        <w:rPr>
          <w:lang w:val="en-US"/>
        </w:rPr>
      </w:pPr>
    </w:p>
    <w:p w14:paraId="6BE784B5" w14:textId="3F00413D" w:rsidR="00D258C6" w:rsidRDefault="002F5BB3" w:rsidP="0090166D">
      <w:pPr>
        <w:rPr>
          <w:lang w:val="en-US"/>
        </w:rPr>
      </w:pPr>
      <w:r>
        <w:rPr>
          <w:lang w:val="en-US"/>
        </w:rPr>
        <w:t xml:space="preserve">If the UE signals UL Fs and DL Fs (here we assume that DL Fs ≥ 1400 MHz and is an enhancement over Rel-15 UE capability), then the network should only be contrained by two factors:  the frequency separation class for UL and DL and that the UL coverage spectrum is contained within the DL coverage spectrum (as was agreed in </w:t>
      </w:r>
      <w:r>
        <w:rPr>
          <w:lang w:val="en-US"/>
        </w:rPr>
        <w:fldChar w:fldCharType="begin"/>
      </w:r>
      <w:r>
        <w:rPr>
          <w:lang w:val="en-US"/>
        </w:rPr>
        <w:instrText xml:space="preserve"> REF _Ref24079157 \r \h </w:instrText>
      </w:r>
      <w:r>
        <w:rPr>
          <w:lang w:val="en-US"/>
        </w:rPr>
      </w:r>
      <w:r>
        <w:rPr>
          <w:lang w:val="en-US"/>
        </w:rPr>
        <w:fldChar w:fldCharType="separate"/>
      </w:r>
      <w:r w:rsidR="00010C08">
        <w:rPr>
          <w:lang w:val="en-US"/>
        </w:rPr>
        <w:t>[2]</w:t>
      </w:r>
      <w:r>
        <w:rPr>
          <w:lang w:val="en-US"/>
        </w:rPr>
        <w:fldChar w:fldCharType="end"/>
      </w:r>
      <w:r>
        <w:rPr>
          <w:lang w:val="en-US"/>
        </w:rPr>
        <w:t xml:space="preserve">).  This </w:t>
      </w:r>
      <w:r w:rsidR="00D258C6">
        <w:rPr>
          <w:lang w:val="en-US"/>
        </w:rPr>
        <w:t xml:space="preserve">scenario, illustrated by Case 1 in Figure 1 above, </w:t>
      </w:r>
      <w:r>
        <w:rPr>
          <w:lang w:val="en-US"/>
        </w:rPr>
        <w:t>represents the most advanced frequency separation class enhancement in Rel-16, in our understanding.</w:t>
      </w:r>
    </w:p>
    <w:p w14:paraId="44C6E0A6" w14:textId="5B196A3E" w:rsidR="00F76B98" w:rsidRDefault="002F5BB3" w:rsidP="0090166D">
      <w:pPr>
        <w:rPr>
          <w:lang w:val="en-US"/>
        </w:rPr>
      </w:pPr>
      <w:r>
        <w:rPr>
          <w:lang w:val="en-US"/>
        </w:rPr>
        <w:lastRenderedPageBreak/>
        <w:t xml:space="preserve">Some UE implementations may </w:t>
      </w:r>
      <w:r w:rsidR="00884344">
        <w:rPr>
          <w:lang w:val="en-US"/>
        </w:rPr>
        <w:t xml:space="preserve">seek to reduce the RF architecture complexity by </w:t>
      </w:r>
      <w:r w:rsidR="00ED7067">
        <w:rPr>
          <w:lang w:val="en-US"/>
        </w:rPr>
        <w:t>sharing the LO between UL and DL</w:t>
      </w:r>
      <w:r w:rsidR="00BF6A6D">
        <w:rPr>
          <w:lang w:val="en-US"/>
        </w:rPr>
        <w:t xml:space="preserve">, as was shown in </w:t>
      </w:r>
      <w:r w:rsidR="00BF6A6D">
        <w:rPr>
          <w:lang w:val="en-US"/>
        </w:rPr>
        <w:fldChar w:fldCharType="begin"/>
      </w:r>
      <w:r w:rsidR="00BF6A6D">
        <w:rPr>
          <w:lang w:val="en-US"/>
        </w:rPr>
        <w:instrText xml:space="preserve"> REF _Ref32331048 \r \h </w:instrText>
      </w:r>
      <w:r w:rsidR="00BF6A6D">
        <w:rPr>
          <w:lang w:val="en-US"/>
        </w:rPr>
      </w:r>
      <w:r w:rsidR="00BF6A6D">
        <w:rPr>
          <w:lang w:val="en-US"/>
        </w:rPr>
        <w:fldChar w:fldCharType="separate"/>
      </w:r>
      <w:r w:rsidR="00010C08">
        <w:rPr>
          <w:lang w:val="en-US"/>
        </w:rPr>
        <w:t>[5]</w:t>
      </w:r>
      <w:r w:rsidR="00BF6A6D">
        <w:rPr>
          <w:lang w:val="en-US"/>
        </w:rPr>
        <w:fldChar w:fldCharType="end"/>
      </w:r>
      <w:r w:rsidR="00BF6A6D">
        <w:rPr>
          <w:lang w:val="en-US"/>
        </w:rPr>
        <w:t>.  These UEs need to further restrict the allocation of DL carriers such that the UL coverage spectrum is centered within the DL coverage spectrum.  This is illustrated with Case 2 in Figure 1 above.</w:t>
      </w:r>
      <w:r w:rsidR="00582A3C">
        <w:rPr>
          <w:lang w:val="en-US"/>
        </w:rPr>
        <w:t xml:space="preserve">  In our understanding, such UEs rely on the Fsd signaling</w:t>
      </w:r>
      <w:r w:rsidR="00D20493">
        <w:rPr>
          <w:lang w:val="en-US"/>
        </w:rPr>
        <w:t xml:space="preserve"> to indicate the additional restriction to the network.</w:t>
      </w:r>
    </w:p>
    <w:p w14:paraId="7262F649" w14:textId="3D4BD29B" w:rsidR="002F5BB3" w:rsidRDefault="00F76B98" w:rsidP="0090166D">
      <w:pPr>
        <w:rPr>
          <w:lang w:val="en-US"/>
        </w:rPr>
      </w:pPr>
      <w:r>
        <w:rPr>
          <w:lang w:val="en-US"/>
        </w:rPr>
        <w:t>Furhermore, o</w:t>
      </w:r>
      <w:r w:rsidR="004C4EE2">
        <w:rPr>
          <w:lang w:val="en-US"/>
        </w:rPr>
        <w:t>ther UE architectures may implement a one-sided extension of the biderection coverage spectrum for DL only, as shown in Case 3.  Thus, in addition to the Fsd parameter an additional bit may be needed to differentiate the Case 2 and Case 3 scenarios.</w:t>
      </w:r>
    </w:p>
    <w:p w14:paraId="48230492" w14:textId="03F6EE67" w:rsidR="004C4EE2" w:rsidRPr="00B67FC6" w:rsidRDefault="004C4EE2" w:rsidP="0090166D">
      <w:pPr>
        <w:rPr>
          <w:lang w:val="en-US"/>
        </w:rPr>
      </w:pPr>
      <w:r>
        <w:rPr>
          <w:lang w:val="en-US"/>
        </w:rPr>
        <w:t>In our understanding, the most important cases for Rel-16 are well captured with Case 1 and Case 2:  this</w:t>
      </w:r>
      <w:r w:rsidR="000024E3">
        <w:rPr>
          <w:lang w:val="en-US"/>
        </w:rPr>
        <w:t xml:space="preserve"> formulation</w:t>
      </w:r>
      <w:r>
        <w:rPr>
          <w:lang w:val="en-US"/>
        </w:rPr>
        <w:t xml:space="preserve"> allows UE implementations to select whether to optimize scheduling flexibility or hardware complexity. </w:t>
      </w:r>
    </w:p>
    <w:p w14:paraId="1DF1C6FE" w14:textId="7577C485" w:rsidR="006B444A" w:rsidRDefault="006B444A" w:rsidP="006B444A">
      <w:pPr>
        <w:pStyle w:val="Proposal"/>
        <w:rPr>
          <w:lang w:val="en-US"/>
        </w:rPr>
      </w:pPr>
      <w:bookmarkStart w:id="1" w:name="_Toc24028843"/>
      <w:bookmarkStart w:id="2" w:name="_Toc24028876"/>
      <w:bookmarkStart w:id="3" w:name="_Toc24032040"/>
      <w:bookmarkStart w:id="4" w:name="_Toc24032320"/>
      <w:bookmarkStart w:id="5" w:name="_Toc24041164"/>
      <w:bookmarkStart w:id="6" w:name="_Toc24041771"/>
      <w:bookmarkStart w:id="7" w:name="_Toc24059044"/>
      <w:bookmarkStart w:id="8" w:name="_Toc24078994"/>
      <w:bookmarkStart w:id="9" w:name="_Toc24080024"/>
      <w:bookmarkStart w:id="10" w:name="_Toc32330294"/>
      <w:bookmarkStart w:id="11" w:name="_Toc32332252"/>
      <w:bookmarkStart w:id="12" w:name="_Toc32332833"/>
      <w:r w:rsidRPr="00B67FC6">
        <w:rPr>
          <w:lang w:val="en-US"/>
        </w:rPr>
        <w:t>Proposal 1:</w:t>
      </w:r>
      <w:r w:rsidRPr="00B67FC6">
        <w:rPr>
          <w:lang w:val="en-US"/>
        </w:rPr>
        <w:tab/>
      </w:r>
      <w:bookmarkEnd w:id="1"/>
      <w:bookmarkEnd w:id="2"/>
      <w:bookmarkEnd w:id="3"/>
      <w:bookmarkEnd w:id="4"/>
      <w:bookmarkEnd w:id="5"/>
      <w:bookmarkEnd w:id="6"/>
      <w:bookmarkEnd w:id="7"/>
      <w:bookmarkEnd w:id="8"/>
      <w:r w:rsidR="00060CC9">
        <w:rPr>
          <w:lang w:val="en-US"/>
        </w:rPr>
        <w:t xml:space="preserve">RAN4 to introduce </w:t>
      </w:r>
      <w:r w:rsidR="004C4EE2">
        <w:rPr>
          <w:lang w:val="en-US"/>
        </w:rPr>
        <w:t>Fsd according to Alt 1 in the WF from RAN4 #93</w:t>
      </w:r>
      <w:r w:rsidR="00033354">
        <w:rPr>
          <w:lang w:val="en-US"/>
        </w:rPr>
        <w:t>,</w:t>
      </w:r>
      <w:r w:rsidR="004C4EE2">
        <w:rPr>
          <w:lang w:val="en-US"/>
        </w:rPr>
        <w:t xml:space="preserve"> such that </w:t>
      </w:r>
      <w:r w:rsidR="00033354">
        <w:rPr>
          <w:lang w:val="en-US"/>
        </w:rPr>
        <w:t>t</w:t>
      </w:r>
      <w:r w:rsidR="00033354" w:rsidRPr="00033354">
        <w:rPr>
          <w:lang w:val="en-US"/>
        </w:rPr>
        <w:t xml:space="preserve">he spectrum covered by the DL-only frequency separation shall be </w:t>
      </w:r>
      <w:r w:rsidR="00033354">
        <w:rPr>
          <w:lang w:val="en-US"/>
        </w:rPr>
        <w:t xml:space="preserve">extended </w:t>
      </w:r>
      <w:r w:rsidR="00033354" w:rsidRPr="00033354">
        <w:rPr>
          <w:lang w:val="en-US"/>
        </w:rPr>
        <w:t>equally on both sides</w:t>
      </w:r>
      <w:r w:rsidR="00033354">
        <w:rPr>
          <w:lang w:val="en-US"/>
        </w:rPr>
        <w:t xml:space="preserve"> (</w:t>
      </w:r>
      <w:r w:rsidR="00033354" w:rsidRPr="00033354">
        <w:rPr>
          <w:lang w:val="en-US"/>
        </w:rPr>
        <w:t>half on each side</w:t>
      </w:r>
      <w:r w:rsidR="00033354">
        <w:rPr>
          <w:lang w:val="en-US"/>
        </w:rPr>
        <w:t>)</w:t>
      </w:r>
      <w:r w:rsidR="00033354" w:rsidRPr="00033354">
        <w:rPr>
          <w:lang w:val="en-US"/>
        </w:rPr>
        <w:t xml:space="preserve"> relative to bidirectional spectrum</w:t>
      </w:r>
      <w:r w:rsidR="00060CC9">
        <w:rPr>
          <w:lang w:val="en-US"/>
        </w:rPr>
        <w:t>.</w:t>
      </w:r>
      <w:bookmarkEnd w:id="9"/>
      <w:bookmarkEnd w:id="10"/>
      <w:bookmarkEnd w:id="11"/>
      <w:bookmarkEnd w:id="12"/>
    </w:p>
    <w:p w14:paraId="10D0BE7D" w14:textId="1F54CBDE" w:rsidR="001B4767" w:rsidRDefault="00033354" w:rsidP="00060CC9">
      <w:pPr>
        <w:rPr>
          <w:lang w:val="en-US"/>
        </w:rPr>
      </w:pPr>
      <w:r>
        <w:rPr>
          <w:lang w:val="en-US"/>
        </w:rPr>
        <w:t xml:space="preserve">Regarding Case 3, </w:t>
      </w:r>
      <w:r w:rsidR="00575C74">
        <w:rPr>
          <w:lang w:val="en-US"/>
        </w:rPr>
        <w:t>there may be little practical difference, in terms of network scheduler behavior, with Case 2 behavior.  UEs which indicate a restriction on CC allocation within the extended DL frequency separation are expected to be handled similarly by the scheduler, while UEs which indicate no restriction may be handled differently (if the scheduler implementation derives a benefit).  Thus, the motivation for introducing two classes of resticted capability UEs may not be very strong.</w:t>
      </w:r>
    </w:p>
    <w:p w14:paraId="131DD626" w14:textId="692E546F" w:rsidR="00575C74" w:rsidRPr="00B67FC6" w:rsidRDefault="00575C74" w:rsidP="00575C74">
      <w:pPr>
        <w:pStyle w:val="Proposal"/>
        <w:rPr>
          <w:lang w:val="en-US"/>
        </w:rPr>
      </w:pPr>
      <w:bookmarkStart w:id="13" w:name="_Toc32332253"/>
      <w:bookmarkStart w:id="14" w:name="_Toc32332834"/>
      <w:r w:rsidRPr="00B67FC6">
        <w:rPr>
          <w:lang w:val="en-US"/>
        </w:rPr>
        <w:t xml:space="preserve">Proposal </w:t>
      </w:r>
      <w:r>
        <w:rPr>
          <w:lang w:val="en-US"/>
        </w:rPr>
        <w:t>2</w:t>
      </w:r>
      <w:r w:rsidRPr="00B67FC6">
        <w:rPr>
          <w:lang w:val="en-US"/>
        </w:rPr>
        <w:t>:</w:t>
      </w:r>
      <w:r w:rsidRPr="00B67FC6">
        <w:rPr>
          <w:lang w:val="en-US"/>
        </w:rPr>
        <w:tab/>
      </w:r>
      <w:r>
        <w:rPr>
          <w:lang w:val="en-US"/>
        </w:rPr>
        <w:t xml:space="preserve">RAN4 </w:t>
      </w:r>
      <w:r>
        <w:rPr>
          <w:lang w:val="en-US"/>
        </w:rPr>
        <w:t>should discuss whether an additional restriction on CC allocation according to Case 3 is needed</w:t>
      </w:r>
      <w:r>
        <w:rPr>
          <w:lang w:val="en-US"/>
        </w:rPr>
        <w:t>.</w:t>
      </w:r>
      <w:bookmarkEnd w:id="13"/>
      <w:bookmarkEnd w:id="14"/>
    </w:p>
    <w:p w14:paraId="333D2B76" w14:textId="503C1852" w:rsidR="00A51462" w:rsidRDefault="00A51462" w:rsidP="00A51462">
      <w:pPr>
        <w:rPr>
          <w:lang w:val="en-US"/>
        </w:rPr>
      </w:pPr>
      <w:r>
        <w:rPr>
          <w:lang w:val="en-US"/>
        </w:rPr>
        <w:t xml:space="preserve">The CR on the enhancement of the Frequency Separation Class was technically endorsed during the RAN4 #93 meeting in </w:t>
      </w:r>
      <w:r>
        <w:rPr>
          <w:lang w:val="en-US"/>
        </w:rPr>
        <w:fldChar w:fldCharType="begin"/>
      </w:r>
      <w:r>
        <w:rPr>
          <w:lang w:val="en-US"/>
        </w:rPr>
        <w:instrText xml:space="preserve"> REF _Ref32330023 \r \h </w:instrText>
      </w:r>
      <w:r>
        <w:rPr>
          <w:lang w:val="en-US"/>
        </w:rPr>
      </w:r>
      <w:r>
        <w:rPr>
          <w:lang w:val="en-US"/>
        </w:rPr>
        <w:fldChar w:fldCharType="separate"/>
      </w:r>
      <w:r w:rsidR="00010C08">
        <w:rPr>
          <w:lang w:val="en-US"/>
        </w:rPr>
        <w:t>[4]</w:t>
      </w:r>
      <w:r>
        <w:rPr>
          <w:lang w:val="en-US"/>
        </w:rPr>
        <w:fldChar w:fldCharType="end"/>
      </w:r>
      <w:r>
        <w:rPr>
          <w:lang w:val="en-US"/>
        </w:rPr>
        <w:t xml:space="preserve">.  </w:t>
      </w:r>
      <w:r w:rsidR="00B21131">
        <w:rPr>
          <w:lang w:val="en-US"/>
        </w:rPr>
        <w:t xml:space="preserve">This CR is submitted for agreement during this meeting in </w:t>
      </w:r>
      <w:r w:rsidR="00B21131">
        <w:rPr>
          <w:lang w:val="en-US"/>
        </w:rPr>
        <w:fldChar w:fldCharType="begin"/>
      </w:r>
      <w:r w:rsidR="00B21131">
        <w:rPr>
          <w:lang w:val="en-US"/>
        </w:rPr>
        <w:instrText xml:space="preserve"> REF _Ref32332887 \r \h </w:instrText>
      </w:r>
      <w:r w:rsidR="00B21131">
        <w:rPr>
          <w:lang w:val="en-US"/>
        </w:rPr>
      </w:r>
      <w:r w:rsidR="00B21131">
        <w:rPr>
          <w:lang w:val="en-US"/>
        </w:rPr>
        <w:fldChar w:fldCharType="separate"/>
      </w:r>
      <w:r w:rsidR="00B21131">
        <w:rPr>
          <w:lang w:val="en-US"/>
        </w:rPr>
        <w:t>[6]</w:t>
      </w:r>
      <w:r w:rsidR="00B21131">
        <w:rPr>
          <w:lang w:val="en-US"/>
        </w:rPr>
        <w:fldChar w:fldCharType="end"/>
      </w:r>
      <w:r w:rsidR="00B21131">
        <w:rPr>
          <w:lang w:val="en-US"/>
        </w:rPr>
        <w:t xml:space="preserve">.  </w:t>
      </w:r>
      <w:r>
        <w:rPr>
          <w:lang w:val="en-US"/>
        </w:rPr>
        <w:t xml:space="preserve">This CR, however, only implements the extension of Fs and thereby introduces just Case 1 behavior to the specification.  Because the Way Forward approved during RAN4 #93 </w:t>
      </w:r>
      <w:r>
        <w:rPr>
          <w:lang w:val="en-US"/>
        </w:rPr>
        <w:fldChar w:fldCharType="begin"/>
      </w:r>
      <w:r>
        <w:rPr>
          <w:lang w:val="en-US"/>
        </w:rPr>
        <w:instrText xml:space="preserve"> REF _Ref32329835 \r \h </w:instrText>
      </w:r>
      <w:r>
        <w:rPr>
          <w:lang w:val="en-US"/>
        </w:rPr>
      </w:r>
      <w:r>
        <w:rPr>
          <w:lang w:val="en-US"/>
        </w:rPr>
        <w:fldChar w:fldCharType="separate"/>
      </w:r>
      <w:r w:rsidR="00010C08">
        <w:rPr>
          <w:lang w:val="en-US"/>
        </w:rPr>
        <w:t>[3]</w:t>
      </w:r>
      <w:r>
        <w:rPr>
          <w:lang w:val="en-US"/>
        </w:rPr>
        <w:fldChar w:fldCharType="end"/>
      </w:r>
      <w:r>
        <w:rPr>
          <w:lang w:val="en-US"/>
        </w:rPr>
        <w:t xml:space="preserve"> contains open issues related to the additional allocation restrictions, it may be helpful to further revise th</w:t>
      </w:r>
      <w:r w:rsidR="00CE313E">
        <w:rPr>
          <w:lang w:val="en-US"/>
        </w:rPr>
        <w:t xml:space="preserve">e </w:t>
      </w:r>
      <w:bookmarkStart w:id="15" w:name="_GoBack"/>
      <w:bookmarkEnd w:id="15"/>
      <w:r>
        <w:rPr>
          <w:lang w:val="en-US"/>
        </w:rPr>
        <w:t>CR</w:t>
      </w:r>
      <w:r w:rsidR="000660CF">
        <w:rPr>
          <w:lang w:val="en-US"/>
        </w:rPr>
        <w:t xml:space="preserve"> in </w:t>
      </w:r>
      <w:r w:rsidR="000660CF">
        <w:rPr>
          <w:lang w:val="en-US"/>
        </w:rPr>
        <w:fldChar w:fldCharType="begin"/>
      </w:r>
      <w:r w:rsidR="000660CF">
        <w:rPr>
          <w:lang w:val="en-US"/>
        </w:rPr>
        <w:instrText xml:space="preserve"> REF _Ref32332887 \r \h </w:instrText>
      </w:r>
      <w:r w:rsidR="000660CF">
        <w:rPr>
          <w:lang w:val="en-US"/>
        </w:rPr>
      </w:r>
      <w:r w:rsidR="000660CF">
        <w:rPr>
          <w:lang w:val="en-US"/>
        </w:rPr>
        <w:fldChar w:fldCharType="separate"/>
      </w:r>
      <w:r w:rsidR="000660CF">
        <w:rPr>
          <w:lang w:val="en-US"/>
        </w:rPr>
        <w:t>[6]</w:t>
      </w:r>
      <w:r w:rsidR="000660CF">
        <w:rPr>
          <w:lang w:val="en-US"/>
        </w:rPr>
        <w:fldChar w:fldCharType="end"/>
      </w:r>
      <w:r>
        <w:rPr>
          <w:lang w:val="en-US"/>
        </w:rPr>
        <w:t xml:space="preserve"> based on RAN4 progress with the open issues.</w:t>
      </w:r>
    </w:p>
    <w:p w14:paraId="7C4EB0D2" w14:textId="69190014" w:rsidR="00A51462" w:rsidRDefault="00A51462" w:rsidP="00A51462">
      <w:pPr>
        <w:pStyle w:val="Proposal"/>
        <w:rPr>
          <w:lang w:val="en-US"/>
        </w:rPr>
      </w:pPr>
      <w:bookmarkStart w:id="16" w:name="_Toc32332835"/>
      <w:r w:rsidRPr="00B67FC6">
        <w:rPr>
          <w:lang w:val="en-US"/>
        </w:rPr>
        <w:t xml:space="preserve">Proposal </w:t>
      </w:r>
      <w:r>
        <w:rPr>
          <w:lang w:val="en-US"/>
        </w:rPr>
        <w:t>3</w:t>
      </w:r>
      <w:r w:rsidRPr="00B67FC6">
        <w:rPr>
          <w:lang w:val="en-US"/>
        </w:rPr>
        <w:t>:</w:t>
      </w:r>
      <w:r w:rsidRPr="00B67FC6">
        <w:rPr>
          <w:lang w:val="en-US"/>
        </w:rPr>
        <w:tab/>
      </w:r>
      <w:r>
        <w:rPr>
          <w:lang w:val="en-US"/>
        </w:rPr>
        <w:t>Assuming RAN4 can finalize the open issues related to t</w:t>
      </w:r>
      <w:r w:rsidRPr="00A51462">
        <w:rPr>
          <w:lang w:val="en-US"/>
        </w:rPr>
        <w:t xml:space="preserve">he signaling </w:t>
      </w:r>
      <w:r>
        <w:rPr>
          <w:lang w:val="en-US"/>
        </w:rPr>
        <w:t xml:space="preserve">aspects </w:t>
      </w:r>
      <w:r w:rsidRPr="00A51462">
        <w:rPr>
          <w:lang w:val="en-US"/>
        </w:rPr>
        <w:t>for DL-only frequency spectrum</w:t>
      </w:r>
      <w:r>
        <w:rPr>
          <w:lang w:val="en-US"/>
        </w:rPr>
        <w:t>, a CR is needed to merge the technically endorsed content from RAN4 #93 with the additional agreements</w:t>
      </w:r>
      <w:r>
        <w:rPr>
          <w:lang w:val="en-US"/>
        </w:rPr>
        <w:t>.</w:t>
      </w:r>
      <w:bookmarkEnd w:id="16"/>
    </w:p>
    <w:p w14:paraId="154A8523" w14:textId="77777777" w:rsidR="00A51462" w:rsidRDefault="00A51462" w:rsidP="00A51462">
      <w:pPr>
        <w:rPr>
          <w:lang w:val="en-US"/>
        </w:rPr>
      </w:pPr>
    </w:p>
    <w:p w14:paraId="34C99636" w14:textId="26B97152" w:rsidR="008E7986" w:rsidRPr="00B67FC6" w:rsidRDefault="008E7986" w:rsidP="008E7986">
      <w:pPr>
        <w:pStyle w:val="Heading1"/>
        <w:rPr>
          <w:lang w:val="en-US"/>
        </w:rPr>
      </w:pPr>
      <w:r w:rsidRPr="00B67FC6">
        <w:rPr>
          <w:lang w:val="en-US"/>
        </w:rPr>
        <w:t>3</w:t>
      </w:r>
      <w:r w:rsidRPr="00B67FC6">
        <w:rPr>
          <w:lang w:val="en-US"/>
        </w:rPr>
        <w:tab/>
        <w:t>Conclusions</w:t>
      </w:r>
    </w:p>
    <w:p w14:paraId="463B82DB" w14:textId="7E0F130E" w:rsidR="00E72ABE" w:rsidRPr="00B67FC6" w:rsidRDefault="006C3B9C" w:rsidP="00E72324">
      <w:pPr>
        <w:rPr>
          <w:lang w:val="en-US"/>
        </w:rPr>
      </w:pPr>
      <w:r w:rsidRPr="00B67FC6">
        <w:rPr>
          <w:lang w:val="en-US"/>
        </w:rPr>
        <w:t xml:space="preserve">This contribution has provided our views on the topic of FR2 </w:t>
      </w:r>
      <w:r w:rsidR="00B04359" w:rsidRPr="00B67FC6">
        <w:rPr>
          <w:lang w:val="en-US"/>
        </w:rPr>
        <w:t>frequency separation class</w:t>
      </w:r>
      <w:r w:rsidRPr="00B67FC6">
        <w:rPr>
          <w:lang w:val="en-US"/>
        </w:rPr>
        <w:t xml:space="preserve"> and has made the following </w:t>
      </w:r>
      <w:r w:rsidR="001B4767">
        <w:rPr>
          <w:lang w:val="en-US"/>
        </w:rPr>
        <w:t>and proposal</w:t>
      </w:r>
      <w:r w:rsidRPr="00B67FC6">
        <w:rPr>
          <w:lang w:val="en-US"/>
        </w:rPr>
        <w:t>:</w:t>
      </w:r>
    </w:p>
    <w:p w14:paraId="26987E04" w14:textId="77777777" w:rsidR="00010C08" w:rsidRDefault="0062595A">
      <w:pPr>
        <w:pStyle w:val="TOC1"/>
        <w:rPr>
          <w:rFonts w:asciiTheme="minorHAnsi" w:eastAsiaTheme="minorEastAsia" w:hAnsiTheme="minorHAnsi" w:cstheme="minorBidi"/>
          <w:b w:val="0"/>
          <w:bCs w:val="0"/>
          <w:noProof/>
          <w:sz w:val="24"/>
          <w:szCs w:val="24"/>
          <w:lang w:val="en-US"/>
        </w:rPr>
      </w:pPr>
      <w:r w:rsidRPr="00B67FC6">
        <w:rPr>
          <w:b w:val="0"/>
          <w:bCs w:val="0"/>
          <w:lang w:val="en-US"/>
        </w:rPr>
        <w:fldChar w:fldCharType="begin"/>
      </w:r>
      <w:r w:rsidRPr="00B67FC6">
        <w:rPr>
          <w:b w:val="0"/>
          <w:bCs w:val="0"/>
          <w:lang w:val="en-US"/>
        </w:rPr>
        <w:instrText xml:space="preserve"> TOC \n \t "Proposal,1" </w:instrText>
      </w:r>
      <w:r w:rsidRPr="00B67FC6">
        <w:rPr>
          <w:b w:val="0"/>
          <w:bCs w:val="0"/>
          <w:lang w:val="en-US"/>
        </w:rPr>
        <w:fldChar w:fldCharType="separate"/>
      </w:r>
      <w:r w:rsidR="00010C08" w:rsidRPr="00502F02">
        <w:rPr>
          <w:noProof/>
          <w:lang w:val="en-US"/>
        </w:rPr>
        <w:t>Proposal 1:</w:t>
      </w:r>
      <w:r w:rsidR="00010C08">
        <w:rPr>
          <w:rFonts w:asciiTheme="minorHAnsi" w:eastAsiaTheme="minorEastAsia" w:hAnsiTheme="minorHAnsi" w:cstheme="minorBidi"/>
          <w:b w:val="0"/>
          <w:bCs w:val="0"/>
          <w:noProof/>
          <w:sz w:val="24"/>
          <w:szCs w:val="24"/>
          <w:lang w:val="en-US"/>
        </w:rPr>
        <w:tab/>
      </w:r>
      <w:r w:rsidR="00010C08" w:rsidRPr="00502F02">
        <w:rPr>
          <w:noProof/>
          <w:lang w:val="en-US"/>
        </w:rPr>
        <w:t>RAN4 to introduce Fsd according to Alt 1 in the WF from RAN4 #93, such that the spectrum covered by the DL-only frequency separation shall be extended equally on both sides (half on each side) relative to bidirectional spectrum.</w:t>
      </w:r>
    </w:p>
    <w:p w14:paraId="432723F0" w14:textId="77777777" w:rsidR="00010C08" w:rsidRDefault="00010C08">
      <w:pPr>
        <w:pStyle w:val="TOC1"/>
        <w:rPr>
          <w:rFonts w:asciiTheme="minorHAnsi" w:eastAsiaTheme="minorEastAsia" w:hAnsiTheme="minorHAnsi" w:cstheme="minorBidi"/>
          <w:b w:val="0"/>
          <w:bCs w:val="0"/>
          <w:noProof/>
          <w:sz w:val="24"/>
          <w:szCs w:val="24"/>
          <w:lang w:val="en-US"/>
        </w:rPr>
      </w:pPr>
      <w:r w:rsidRPr="00502F02">
        <w:rPr>
          <w:noProof/>
          <w:lang w:val="en-US"/>
        </w:rPr>
        <w:t>Proposal 2:</w:t>
      </w:r>
      <w:r>
        <w:rPr>
          <w:rFonts w:asciiTheme="minorHAnsi" w:eastAsiaTheme="minorEastAsia" w:hAnsiTheme="minorHAnsi" w:cstheme="minorBidi"/>
          <w:b w:val="0"/>
          <w:bCs w:val="0"/>
          <w:noProof/>
          <w:sz w:val="24"/>
          <w:szCs w:val="24"/>
          <w:lang w:val="en-US"/>
        </w:rPr>
        <w:tab/>
      </w:r>
      <w:r w:rsidRPr="00502F02">
        <w:rPr>
          <w:noProof/>
          <w:lang w:val="en-US"/>
        </w:rPr>
        <w:t>RAN4 should discuss whether an additional restriction on CC allocation according to Case 3 is needed.</w:t>
      </w:r>
    </w:p>
    <w:p w14:paraId="4F9A88C6" w14:textId="77777777" w:rsidR="00010C08" w:rsidRDefault="00010C08">
      <w:pPr>
        <w:pStyle w:val="TOC1"/>
        <w:rPr>
          <w:rFonts w:asciiTheme="minorHAnsi" w:eastAsiaTheme="minorEastAsia" w:hAnsiTheme="minorHAnsi" w:cstheme="minorBidi"/>
          <w:b w:val="0"/>
          <w:bCs w:val="0"/>
          <w:noProof/>
          <w:sz w:val="24"/>
          <w:szCs w:val="24"/>
          <w:lang w:val="en-US"/>
        </w:rPr>
      </w:pPr>
      <w:r w:rsidRPr="00502F02">
        <w:rPr>
          <w:noProof/>
          <w:lang w:val="en-US"/>
        </w:rPr>
        <w:t>Proposal 3:</w:t>
      </w:r>
      <w:r>
        <w:rPr>
          <w:rFonts w:asciiTheme="minorHAnsi" w:eastAsiaTheme="minorEastAsia" w:hAnsiTheme="minorHAnsi" w:cstheme="minorBidi"/>
          <w:b w:val="0"/>
          <w:bCs w:val="0"/>
          <w:noProof/>
          <w:sz w:val="24"/>
          <w:szCs w:val="24"/>
          <w:lang w:val="en-US"/>
        </w:rPr>
        <w:tab/>
      </w:r>
      <w:r w:rsidRPr="00502F02">
        <w:rPr>
          <w:noProof/>
          <w:lang w:val="en-US"/>
        </w:rPr>
        <w:t>Assuming RAN4 can finalize the open issues related to the signaling aspects for DL-only frequency spectrum, a CR is needed to merge the technically endorsed content from RAN4 #93 with the additional agreements.</w:t>
      </w:r>
    </w:p>
    <w:p w14:paraId="05CC6F0A" w14:textId="4F1653C5" w:rsidR="005E69AE" w:rsidRPr="00B67FC6" w:rsidRDefault="0062595A" w:rsidP="001B4767">
      <w:pPr>
        <w:rPr>
          <w:lang w:val="en-US"/>
        </w:rPr>
      </w:pPr>
      <w:r w:rsidRPr="00B67FC6">
        <w:rPr>
          <w:b/>
          <w:bCs/>
          <w:lang w:val="en-US"/>
        </w:rPr>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39889BB5" w14:textId="77777777" w:rsidR="00774153" w:rsidRPr="00B67FC6" w:rsidRDefault="00774153" w:rsidP="00774153">
      <w:pPr>
        <w:pStyle w:val="EX"/>
        <w:numPr>
          <w:ilvl w:val="0"/>
          <w:numId w:val="5"/>
        </w:numPr>
        <w:rPr>
          <w:lang w:val="en-US"/>
        </w:rPr>
      </w:pPr>
      <w:bookmarkStart w:id="17" w:name="_Ref16617333"/>
      <w:r w:rsidRPr="00B67FC6">
        <w:rPr>
          <w:lang w:val="en-US"/>
        </w:rPr>
        <w:t>RP-190761, “NR RF requirements for FR2,”</w:t>
      </w:r>
      <w:bookmarkEnd w:id="17"/>
      <w:r w:rsidRPr="00B67FC6">
        <w:rPr>
          <w:lang w:val="en-US"/>
        </w:rPr>
        <w:t xml:space="preserve"> Nokia, Nokia Shanghai Bell, 3GPP RAN #83, March 2019</w:t>
      </w:r>
    </w:p>
    <w:p w14:paraId="0F92EC18" w14:textId="7517C736" w:rsidR="00851EAD" w:rsidRDefault="00C742F2" w:rsidP="005F42E3">
      <w:pPr>
        <w:pStyle w:val="EX"/>
        <w:rPr>
          <w:lang w:val="en-US"/>
        </w:rPr>
      </w:pPr>
      <w:bookmarkStart w:id="18" w:name="_Ref24079157"/>
      <w:bookmarkEnd w:id="0"/>
      <w:r w:rsidRPr="00B67FC6">
        <w:rPr>
          <w:lang w:val="en-US"/>
        </w:rPr>
        <w:t>R4-1913042, “WF on DL Intra-band CA BW Enhancement,” Qualcomm Incorporated, 3GPP RAN4 #92bis, October 2019</w:t>
      </w:r>
      <w:bookmarkEnd w:id="18"/>
    </w:p>
    <w:p w14:paraId="2C42593B" w14:textId="3B5239D9" w:rsidR="00F01939" w:rsidRDefault="00F01939" w:rsidP="005F42E3">
      <w:pPr>
        <w:pStyle w:val="EX"/>
        <w:rPr>
          <w:lang w:val="en-US"/>
        </w:rPr>
      </w:pPr>
      <w:bookmarkStart w:id="19" w:name="_Ref32329835"/>
      <w:r w:rsidRPr="00F01939">
        <w:rPr>
          <w:lang w:val="en-US"/>
        </w:rPr>
        <w:lastRenderedPageBreak/>
        <w:t>R4-1916021</w:t>
      </w:r>
      <w:r>
        <w:rPr>
          <w:lang w:val="en-US"/>
        </w:rPr>
        <w:t>, “</w:t>
      </w:r>
      <w:r w:rsidRPr="00F01939">
        <w:rPr>
          <w:lang w:val="en-US"/>
        </w:rPr>
        <w:t>WF on FR2 DL Intra-band CA BW Enhancement</w:t>
      </w:r>
      <w:r>
        <w:rPr>
          <w:lang w:val="en-US"/>
        </w:rPr>
        <w:t xml:space="preserve">,” </w:t>
      </w:r>
      <w:r w:rsidRPr="00F01939">
        <w:rPr>
          <w:lang w:val="en-US"/>
        </w:rPr>
        <w:t>Qualcomm, Apple, Nokia, Samsung</w:t>
      </w:r>
      <w:r>
        <w:rPr>
          <w:lang w:val="en-US"/>
        </w:rPr>
        <w:t>, 3GPP RAN4 #93, November 2019</w:t>
      </w:r>
      <w:bookmarkEnd w:id="19"/>
    </w:p>
    <w:p w14:paraId="4E886EDE" w14:textId="53141F91" w:rsidR="00F01939" w:rsidRDefault="00F01939" w:rsidP="005F42E3">
      <w:pPr>
        <w:pStyle w:val="EX"/>
        <w:rPr>
          <w:lang w:val="en-US"/>
        </w:rPr>
      </w:pPr>
      <w:bookmarkStart w:id="20" w:name="_Ref32330023"/>
      <w:r w:rsidRPr="00F01939">
        <w:rPr>
          <w:lang w:val="en-US"/>
        </w:rPr>
        <w:t>R4-1915475</w:t>
      </w:r>
      <w:r>
        <w:rPr>
          <w:lang w:val="en-US"/>
        </w:rPr>
        <w:t>, “</w:t>
      </w:r>
      <w:r w:rsidRPr="00F01939">
        <w:rPr>
          <w:lang w:val="en-US"/>
        </w:rPr>
        <w:t>CR to 38.101-2 on FR2 frequency separation class enhancement</w:t>
      </w:r>
      <w:r>
        <w:rPr>
          <w:lang w:val="en-US"/>
        </w:rPr>
        <w:t>,” Apple Inc., 3GPP RAN4 #93, November 2019</w:t>
      </w:r>
      <w:bookmarkEnd w:id="20"/>
    </w:p>
    <w:p w14:paraId="460BD9EA" w14:textId="04082495" w:rsidR="00F01939" w:rsidRDefault="00BF6A6D" w:rsidP="005F42E3">
      <w:pPr>
        <w:pStyle w:val="EX"/>
        <w:rPr>
          <w:lang w:val="en-US"/>
        </w:rPr>
      </w:pPr>
      <w:bookmarkStart w:id="21" w:name="_Ref32331048"/>
      <w:r w:rsidRPr="00BF6A6D">
        <w:rPr>
          <w:lang w:val="en-US"/>
        </w:rPr>
        <w:t>R4-1908164</w:t>
      </w:r>
      <w:r>
        <w:rPr>
          <w:lang w:val="en-US"/>
        </w:rPr>
        <w:t>, “</w:t>
      </w:r>
      <w:r w:rsidRPr="00BF6A6D">
        <w:rPr>
          <w:lang w:val="en-US"/>
        </w:rPr>
        <w:t>UE Architecture for DL CA BW Enhancement for Rel. 16 FR2</w:t>
      </w:r>
      <w:r>
        <w:rPr>
          <w:lang w:val="en-US"/>
        </w:rPr>
        <w:t>,” Qualcomm Incorporated, 3GPP RAN4 #92, August 2019</w:t>
      </w:r>
      <w:bookmarkEnd w:id="21"/>
    </w:p>
    <w:p w14:paraId="4770268B" w14:textId="38876B0E" w:rsidR="009165E6" w:rsidRPr="00B67FC6" w:rsidRDefault="009165E6" w:rsidP="005F42E3">
      <w:pPr>
        <w:pStyle w:val="EX"/>
        <w:rPr>
          <w:lang w:val="en-US"/>
        </w:rPr>
      </w:pPr>
      <w:bookmarkStart w:id="22" w:name="_Ref32332887"/>
      <w:r w:rsidRPr="009165E6">
        <w:rPr>
          <w:lang w:val="en-US"/>
        </w:rPr>
        <w:t>R4-2000014</w:t>
      </w:r>
      <w:r>
        <w:rPr>
          <w:lang w:val="en-US"/>
        </w:rPr>
        <w:t>, “</w:t>
      </w:r>
      <w:r w:rsidRPr="009165E6">
        <w:rPr>
          <w:lang w:val="en-US"/>
        </w:rPr>
        <w:t>CR to 38.101-2 on FR2 frequency separation class enhancement</w:t>
      </w:r>
      <w:r>
        <w:rPr>
          <w:lang w:val="en-US"/>
        </w:rPr>
        <w:t>,” Apple Inc., 3GPP RAN4 #94, February 2020</w:t>
      </w:r>
      <w:bookmarkEnd w:id="22"/>
    </w:p>
    <w:p w14:paraId="43EAA5F7" w14:textId="77777777" w:rsidR="007E1FDF" w:rsidRPr="00B67FC6" w:rsidRDefault="007E1FDF" w:rsidP="00221868">
      <w:pPr>
        <w:pStyle w:val="EX"/>
        <w:numPr>
          <w:ilvl w:val="0"/>
          <w:numId w:val="0"/>
        </w:numPr>
        <w:rPr>
          <w:lang w:val="en-US"/>
        </w:rPr>
      </w:pPr>
    </w:p>
    <w:p w14:paraId="6322CC7D" w14:textId="77777777" w:rsidR="00103C69" w:rsidRPr="00B67FC6" w:rsidRDefault="00103C69">
      <w:pPr>
        <w:pStyle w:val="EX"/>
        <w:numPr>
          <w:ilvl w:val="0"/>
          <w:numId w:val="0"/>
        </w:numPr>
        <w:rPr>
          <w:lang w:val="en-US"/>
        </w:rPr>
      </w:pPr>
    </w:p>
    <w:sectPr w:rsidR="00103C69" w:rsidRPr="00B67FC6"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63995" w14:textId="77777777" w:rsidR="00436666" w:rsidRDefault="00436666">
      <w:r>
        <w:separator/>
      </w:r>
    </w:p>
  </w:endnote>
  <w:endnote w:type="continuationSeparator" w:id="0">
    <w:p w14:paraId="0BE66BC1" w14:textId="77777777" w:rsidR="00436666" w:rsidRDefault="0043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D1023" w14:textId="77777777" w:rsidR="00436666" w:rsidRDefault="00436666">
      <w:r>
        <w:separator/>
      </w:r>
    </w:p>
  </w:footnote>
  <w:footnote w:type="continuationSeparator" w:id="0">
    <w:p w14:paraId="5F6E339F" w14:textId="77777777" w:rsidR="00436666" w:rsidRDefault="00436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10C08"/>
    <w:rsid w:val="00033354"/>
    <w:rsid w:val="00033397"/>
    <w:rsid w:val="00040095"/>
    <w:rsid w:val="00051834"/>
    <w:rsid w:val="00054A22"/>
    <w:rsid w:val="00060CC9"/>
    <w:rsid w:val="00061C04"/>
    <w:rsid w:val="00062023"/>
    <w:rsid w:val="000655A6"/>
    <w:rsid w:val="000660CF"/>
    <w:rsid w:val="00080512"/>
    <w:rsid w:val="000A0284"/>
    <w:rsid w:val="000A365D"/>
    <w:rsid w:val="000A68F3"/>
    <w:rsid w:val="000B4706"/>
    <w:rsid w:val="000C47C3"/>
    <w:rsid w:val="000D58AB"/>
    <w:rsid w:val="000D76CE"/>
    <w:rsid w:val="00103C69"/>
    <w:rsid w:val="00104BC6"/>
    <w:rsid w:val="001133A5"/>
    <w:rsid w:val="00114E2C"/>
    <w:rsid w:val="00133525"/>
    <w:rsid w:val="00141628"/>
    <w:rsid w:val="001445D7"/>
    <w:rsid w:val="00166C80"/>
    <w:rsid w:val="00167B4B"/>
    <w:rsid w:val="00172B21"/>
    <w:rsid w:val="001A4C42"/>
    <w:rsid w:val="001B4767"/>
    <w:rsid w:val="001C21C3"/>
    <w:rsid w:val="001D02C2"/>
    <w:rsid w:val="001E069F"/>
    <w:rsid w:val="001F0C1D"/>
    <w:rsid w:val="001F0F72"/>
    <w:rsid w:val="001F1132"/>
    <w:rsid w:val="001F168B"/>
    <w:rsid w:val="00221868"/>
    <w:rsid w:val="00223B85"/>
    <w:rsid w:val="002347A2"/>
    <w:rsid w:val="00245835"/>
    <w:rsid w:val="00247926"/>
    <w:rsid w:val="0025184C"/>
    <w:rsid w:val="002675F0"/>
    <w:rsid w:val="0027462C"/>
    <w:rsid w:val="00274694"/>
    <w:rsid w:val="00276EE4"/>
    <w:rsid w:val="00290BFF"/>
    <w:rsid w:val="002A6938"/>
    <w:rsid w:val="002B6339"/>
    <w:rsid w:val="002C04C0"/>
    <w:rsid w:val="002C0B6A"/>
    <w:rsid w:val="002E00EE"/>
    <w:rsid w:val="002F5BB3"/>
    <w:rsid w:val="002F6EC7"/>
    <w:rsid w:val="003172DC"/>
    <w:rsid w:val="00330763"/>
    <w:rsid w:val="00337522"/>
    <w:rsid w:val="0034052F"/>
    <w:rsid w:val="00352736"/>
    <w:rsid w:val="0035462D"/>
    <w:rsid w:val="003549DF"/>
    <w:rsid w:val="00362052"/>
    <w:rsid w:val="00362E0C"/>
    <w:rsid w:val="003765B8"/>
    <w:rsid w:val="003A0483"/>
    <w:rsid w:val="003C3971"/>
    <w:rsid w:val="003C3BBC"/>
    <w:rsid w:val="003D6AF1"/>
    <w:rsid w:val="003E62EA"/>
    <w:rsid w:val="003E7753"/>
    <w:rsid w:val="00400DB6"/>
    <w:rsid w:val="00421408"/>
    <w:rsid w:val="00423334"/>
    <w:rsid w:val="004345EC"/>
    <w:rsid w:val="00436666"/>
    <w:rsid w:val="00447588"/>
    <w:rsid w:val="00447A0B"/>
    <w:rsid w:val="00452D32"/>
    <w:rsid w:val="00465AB5"/>
    <w:rsid w:val="004814C2"/>
    <w:rsid w:val="004826A9"/>
    <w:rsid w:val="004A75AB"/>
    <w:rsid w:val="004C1601"/>
    <w:rsid w:val="004C4EE2"/>
    <w:rsid w:val="004C613F"/>
    <w:rsid w:val="004D3578"/>
    <w:rsid w:val="004E213A"/>
    <w:rsid w:val="004F0988"/>
    <w:rsid w:val="004F3340"/>
    <w:rsid w:val="004F3E3D"/>
    <w:rsid w:val="0053388B"/>
    <w:rsid w:val="00535773"/>
    <w:rsid w:val="00543C32"/>
    <w:rsid w:val="00543E6C"/>
    <w:rsid w:val="005579A3"/>
    <w:rsid w:val="00565087"/>
    <w:rsid w:val="00572E14"/>
    <w:rsid w:val="005738D7"/>
    <w:rsid w:val="00575C74"/>
    <w:rsid w:val="00575F62"/>
    <w:rsid w:val="00582A3C"/>
    <w:rsid w:val="005973BE"/>
    <w:rsid w:val="005A5986"/>
    <w:rsid w:val="005C78F4"/>
    <w:rsid w:val="005D2E01"/>
    <w:rsid w:val="005D7526"/>
    <w:rsid w:val="005E4138"/>
    <w:rsid w:val="005E69AE"/>
    <w:rsid w:val="005F42E3"/>
    <w:rsid w:val="00602AEA"/>
    <w:rsid w:val="00607E3C"/>
    <w:rsid w:val="00614FDF"/>
    <w:rsid w:val="00616B6D"/>
    <w:rsid w:val="006246A7"/>
    <w:rsid w:val="0062595A"/>
    <w:rsid w:val="0063543D"/>
    <w:rsid w:val="00640B80"/>
    <w:rsid w:val="00647114"/>
    <w:rsid w:val="0068172C"/>
    <w:rsid w:val="006A323F"/>
    <w:rsid w:val="006B30D0"/>
    <w:rsid w:val="006B444A"/>
    <w:rsid w:val="006C3B9C"/>
    <w:rsid w:val="006C3D95"/>
    <w:rsid w:val="006D0763"/>
    <w:rsid w:val="006D2D7D"/>
    <w:rsid w:val="006E5C86"/>
    <w:rsid w:val="00703CAB"/>
    <w:rsid w:val="00712FC4"/>
    <w:rsid w:val="00713C44"/>
    <w:rsid w:val="00717F7A"/>
    <w:rsid w:val="0072603E"/>
    <w:rsid w:val="00734A5B"/>
    <w:rsid w:val="0074026F"/>
    <w:rsid w:val="007429F6"/>
    <w:rsid w:val="00744E76"/>
    <w:rsid w:val="00752198"/>
    <w:rsid w:val="00753881"/>
    <w:rsid w:val="0076797D"/>
    <w:rsid w:val="00774153"/>
    <w:rsid w:val="00774DA4"/>
    <w:rsid w:val="00777F7E"/>
    <w:rsid w:val="00781F0F"/>
    <w:rsid w:val="0078418F"/>
    <w:rsid w:val="007A78C2"/>
    <w:rsid w:val="007B5F2D"/>
    <w:rsid w:val="007B600E"/>
    <w:rsid w:val="007B670C"/>
    <w:rsid w:val="007D48E9"/>
    <w:rsid w:val="007D4A21"/>
    <w:rsid w:val="007E1FDF"/>
    <w:rsid w:val="007E22B1"/>
    <w:rsid w:val="007E2512"/>
    <w:rsid w:val="007E4B54"/>
    <w:rsid w:val="007F0F4A"/>
    <w:rsid w:val="008028A4"/>
    <w:rsid w:val="00820B25"/>
    <w:rsid w:val="00830747"/>
    <w:rsid w:val="00833B72"/>
    <w:rsid w:val="00851EAD"/>
    <w:rsid w:val="008624E8"/>
    <w:rsid w:val="00864F5A"/>
    <w:rsid w:val="008653C7"/>
    <w:rsid w:val="00866F8F"/>
    <w:rsid w:val="008768CA"/>
    <w:rsid w:val="008825FE"/>
    <w:rsid w:val="00884344"/>
    <w:rsid w:val="008C384C"/>
    <w:rsid w:val="008E7986"/>
    <w:rsid w:val="008F61EB"/>
    <w:rsid w:val="0090166D"/>
    <w:rsid w:val="0090271F"/>
    <w:rsid w:val="00902E23"/>
    <w:rsid w:val="009114D7"/>
    <w:rsid w:val="0091348E"/>
    <w:rsid w:val="009165E6"/>
    <w:rsid w:val="00917CCB"/>
    <w:rsid w:val="00942EC2"/>
    <w:rsid w:val="009F37B7"/>
    <w:rsid w:val="009F5E43"/>
    <w:rsid w:val="00A10F02"/>
    <w:rsid w:val="00A13331"/>
    <w:rsid w:val="00A164B4"/>
    <w:rsid w:val="00A201FB"/>
    <w:rsid w:val="00A20351"/>
    <w:rsid w:val="00A218EA"/>
    <w:rsid w:val="00A26956"/>
    <w:rsid w:val="00A51462"/>
    <w:rsid w:val="00A53724"/>
    <w:rsid w:val="00A61773"/>
    <w:rsid w:val="00A73129"/>
    <w:rsid w:val="00A81F5A"/>
    <w:rsid w:val="00A82346"/>
    <w:rsid w:val="00A92BA1"/>
    <w:rsid w:val="00AA37A7"/>
    <w:rsid w:val="00AB37E2"/>
    <w:rsid w:val="00AC6BC6"/>
    <w:rsid w:val="00AC7371"/>
    <w:rsid w:val="00AD3D1D"/>
    <w:rsid w:val="00AE3797"/>
    <w:rsid w:val="00B009DB"/>
    <w:rsid w:val="00B02A63"/>
    <w:rsid w:val="00B04359"/>
    <w:rsid w:val="00B070F5"/>
    <w:rsid w:val="00B15449"/>
    <w:rsid w:val="00B21131"/>
    <w:rsid w:val="00B67FC6"/>
    <w:rsid w:val="00B93086"/>
    <w:rsid w:val="00BA19ED"/>
    <w:rsid w:val="00BA300B"/>
    <w:rsid w:val="00BA4B8D"/>
    <w:rsid w:val="00BC0F7D"/>
    <w:rsid w:val="00BC7FA1"/>
    <w:rsid w:val="00BD0602"/>
    <w:rsid w:val="00BE3255"/>
    <w:rsid w:val="00BF128E"/>
    <w:rsid w:val="00BF6A6D"/>
    <w:rsid w:val="00C0300E"/>
    <w:rsid w:val="00C1496A"/>
    <w:rsid w:val="00C2086E"/>
    <w:rsid w:val="00C33079"/>
    <w:rsid w:val="00C37672"/>
    <w:rsid w:val="00C45231"/>
    <w:rsid w:val="00C72833"/>
    <w:rsid w:val="00C742F2"/>
    <w:rsid w:val="00C77EA5"/>
    <w:rsid w:val="00C80F1D"/>
    <w:rsid w:val="00C93F40"/>
    <w:rsid w:val="00C95DDD"/>
    <w:rsid w:val="00C967AB"/>
    <w:rsid w:val="00CA3D0C"/>
    <w:rsid w:val="00CC54CB"/>
    <w:rsid w:val="00CD356D"/>
    <w:rsid w:val="00CD47D7"/>
    <w:rsid w:val="00CD5FA3"/>
    <w:rsid w:val="00CE2522"/>
    <w:rsid w:val="00CE313E"/>
    <w:rsid w:val="00CF20E3"/>
    <w:rsid w:val="00CF42E1"/>
    <w:rsid w:val="00D20493"/>
    <w:rsid w:val="00D258C6"/>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D7067"/>
    <w:rsid w:val="00EE005C"/>
    <w:rsid w:val="00EE5AA7"/>
    <w:rsid w:val="00EE696A"/>
    <w:rsid w:val="00EF0368"/>
    <w:rsid w:val="00EF084E"/>
    <w:rsid w:val="00F01939"/>
    <w:rsid w:val="00F025A2"/>
    <w:rsid w:val="00F04712"/>
    <w:rsid w:val="00F075AF"/>
    <w:rsid w:val="00F21311"/>
    <w:rsid w:val="00F22EC7"/>
    <w:rsid w:val="00F3058B"/>
    <w:rsid w:val="00F325C8"/>
    <w:rsid w:val="00F37886"/>
    <w:rsid w:val="00F412EA"/>
    <w:rsid w:val="00F62AEB"/>
    <w:rsid w:val="00F653B8"/>
    <w:rsid w:val="00F703CE"/>
    <w:rsid w:val="00F70647"/>
    <w:rsid w:val="00F76B98"/>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1989-7D6A-D14E-834E-92B0B27A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4</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cp:revision>
  <cp:lastPrinted>2019-02-25T14:05:00Z</cp:lastPrinted>
  <dcterms:created xsi:type="dcterms:W3CDTF">2020-02-12T00:05:00Z</dcterms:created>
  <dcterms:modified xsi:type="dcterms:W3CDTF">2020-02-12T01:01:00Z</dcterms:modified>
  <cp:category/>
</cp:coreProperties>
</file>